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חגית מטלין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7C65D4" w:rsidRDefault="004319AA">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4224F1" w:rsidP="004260C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4260CE">
                  <w:rPr>
                    <w:rFonts w:ascii="Arial" w:hAnsi="Arial" w:hint="cs"/>
                    <w:b/>
                    <w:bCs/>
                    <w:noProof w:val="0"/>
                    <w:sz w:val="26"/>
                    <w:szCs w:val="26"/>
                    <w:rtl/>
                  </w:rPr>
                  <w:t xml:space="preserve">פלונית </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897DAF">
                  <w:rPr>
                    <w:rFonts w:ascii="Arial" w:hAnsi="Arial" w:hint="eastAsia"/>
                    <w:b/>
                    <w:bCs/>
                    <w:noProof w:val="0"/>
                    <w:sz w:val="26"/>
                    <w:szCs w:val="26"/>
                    <w:rtl/>
                  </w:rPr>
                  <w:t>ת"ז</w:t>
                </w:r>
                <w:r w:rsidR="004260CE">
                  <w:rPr>
                    <w:rFonts w:ascii="Arial" w:hAnsi="Arial" w:hint="cs"/>
                    <w:b/>
                    <w:bCs/>
                    <w:noProof w:val="0"/>
                    <w:sz w:val="26"/>
                    <w:szCs w:val="26"/>
                    <w:rtl/>
                  </w:rPr>
                  <w:t xml:space="preserve"> ****</w:t>
                </w:r>
              </w:sdtContent>
            </w:sdt>
            <w:r w:rsidR="00E54CD9" w:rsidRPr="00E54CD9">
              <w:rPr>
                <w:rFonts w:ascii="Arial" w:hAnsi="Arial" w:hint="cs"/>
                <w:b/>
                <w:bCs/>
                <w:noProof w:val="0"/>
                <w:sz w:val="26"/>
                <w:szCs w:val="26"/>
                <w:rtl/>
              </w:rPr>
              <w:t xml:space="preserve"> </w:t>
            </w:r>
          </w:p>
        </w:tc>
      </w:tr>
      <w:tr w:rsidR="0094424E">
        <w:trPr>
          <w:jc w:val="center"/>
        </w:trPr>
        <w:tc>
          <w:tcPr>
            <w:tcW w:w="8820" w:type="dxa"/>
            <w:gridSpan w:val="3"/>
          </w:tcPr>
          <w:p w:rsidR="0094424E" w:rsidRDefault="004319AA" w:rsidP="00D44968">
            <w:pPr>
              <w:suppressLineNumbers/>
              <w:rPr>
                <w:rFonts w:ascii="Arial" w:hAnsi="Arial"/>
                <w:b/>
                <w:bCs/>
                <w:noProof w:val="0"/>
                <w:sz w:val="26"/>
                <w:szCs w:val="26"/>
                <w:rtl/>
              </w:rPr>
            </w:pPr>
            <w:r>
              <w:rPr>
                <w:rFonts w:ascii="Arial" w:hAnsi="Arial" w:hint="cs"/>
                <w:b/>
                <w:bCs/>
                <w:noProof w:val="0"/>
                <w:sz w:val="26"/>
                <w:szCs w:val="26"/>
                <w:rtl/>
              </w:rPr>
              <w:t xml:space="preserve">                                                         ע"י ב"כ עו"ד אלירן וקנין</w:t>
            </w:r>
          </w:p>
          <w:p w:rsidR="004319AA" w:rsidRDefault="004319AA"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224F1" w:rsidP="00D44968">
            <w:pPr>
              <w:suppressLineNumbers/>
              <w:rPr>
                <w:rFonts w:ascii="Arial" w:hAnsi="Arial"/>
                <w:b/>
                <w:bCs/>
                <w:noProof w:val="0"/>
                <w:sz w:val="26"/>
                <w:szCs w:val="26"/>
              </w:rPr>
            </w:pPr>
            <w:sdt>
              <w:sdtPr>
                <w:rPr>
                  <w:rtl/>
                </w:rPr>
                <w:alias w:val="1184"/>
                <w:tag w:val="1184"/>
                <w:id w:val="-340621022"/>
                <w:text w:multiLine="1"/>
              </w:sdtPr>
              <w:sdtEndPr/>
              <w:sdtContent>
                <w:r w:rsidR="004319AA">
                  <w:rPr>
                    <w:rFonts w:ascii="Arial" w:hAnsi="Arial"/>
                    <w:b/>
                    <w:bCs/>
                    <w:noProof w:val="0"/>
                    <w:sz w:val="26"/>
                    <w:szCs w:val="26"/>
                    <w:rtl/>
                  </w:rPr>
                  <w:t>נתבע</w:t>
                </w:r>
              </w:sdtContent>
            </w:sdt>
          </w:p>
        </w:tc>
        <w:tc>
          <w:tcPr>
            <w:tcW w:w="5571" w:type="dxa"/>
          </w:tcPr>
          <w:p w:rsidR="004260CE" w:rsidRDefault="004224F1" w:rsidP="004260CE">
            <w:pPr>
              <w:suppressLineNumbers/>
              <w:rPr>
                <w:b/>
                <w:bCs/>
                <w:noProof w:val="0"/>
                <w:sz w:val="26"/>
                <w:szCs w:val="26"/>
                <w:rtl/>
              </w:rPr>
            </w:pPr>
            <w:sdt>
              <w:sdtPr>
                <w:rPr>
                  <w:rtl/>
                </w:rPr>
                <w:alias w:val="1486"/>
                <w:tag w:val="1486"/>
                <w:id w:val="-309872140"/>
                <w:text w:multiLine="1"/>
              </w:sdtPr>
              <w:sdtEndPr/>
              <w:sdtContent>
                <w:r w:rsidR="004260CE">
                  <w:rPr>
                    <w:rFonts w:ascii="Arial" w:hAnsi="Arial" w:hint="cs"/>
                    <w:b/>
                    <w:bCs/>
                    <w:noProof w:val="0"/>
                    <w:sz w:val="26"/>
                    <w:szCs w:val="26"/>
                    <w:rtl/>
                  </w:rPr>
                  <w:t xml:space="preserve">פלוני </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4260CE">
              <w:rPr>
                <w:rFonts w:ascii="Arial" w:hAnsi="Arial" w:hint="cs"/>
                <w:b/>
                <w:bCs/>
                <w:noProof w:val="0"/>
                <w:sz w:val="26"/>
                <w:szCs w:val="26"/>
                <w:rtl/>
              </w:rPr>
              <w:t>****</w:t>
            </w:r>
          </w:p>
          <w:p w:rsidR="00CF6BB7" w:rsidRDefault="004260CE" w:rsidP="004260CE">
            <w:pPr>
              <w:suppressLineNumbers/>
              <w:rPr>
                <w:b/>
                <w:bCs/>
                <w:noProof w:val="0"/>
                <w:sz w:val="26"/>
                <w:szCs w:val="26"/>
                <w:rtl/>
              </w:rPr>
            </w:pPr>
            <w:r>
              <w:rPr>
                <w:rFonts w:hint="cs"/>
                <w:b/>
                <w:bCs/>
                <w:noProof w:val="0"/>
                <w:sz w:val="26"/>
                <w:szCs w:val="26"/>
                <w:rtl/>
              </w:rPr>
              <w:t>ע</w:t>
            </w:r>
            <w:r w:rsidR="004319AA">
              <w:rPr>
                <w:rFonts w:hint="cs"/>
                <w:b/>
                <w:bCs/>
                <w:noProof w:val="0"/>
                <w:sz w:val="26"/>
                <w:szCs w:val="26"/>
                <w:rtl/>
              </w:rPr>
              <w:t>"י ב"כ עו"ד ויקי פוני</w:t>
            </w:r>
          </w:p>
        </w:tc>
      </w:tr>
      <w:tr w:rsidR="00CF6BB7" w:rsidTr="00280865">
        <w:trPr>
          <w:jc w:val="center"/>
        </w:trPr>
        <w:tc>
          <w:tcPr>
            <w:tcW w:w="8820" w:type="dxa"/>
            <w:gridSpan w:val="3"/>
          </w:tcPr>
          <w:p w:rsidR="00CF6BB7" w:rsidRPr="00996935" w:rsidRDefault="00CF6BB7" w:rsidP="00D44968">
            <w:pPr>
              <w:suppressLineNumbers/>
              <w:rPr>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4319AA" w:rsidRDefault="004319AA" w:rsidP="004319AA">
      <w:pPr>
        <w:spacing w:line="360" w:lineRule="auto"/>
        <w:jc w:val="both"/>
        <w:rPr>
          <w:rFonts w:ascii="David" w:hAnsi="David"/>
          <w:rtl/>
        </w:rPr>
      </w:pPr>
      <w:bookmarkStart w:id="0" w:name="NGCSBookmark"/>
      <w:bookmarkEnd w:id="0"/>
      <w:r>
        <w:rPr>
          <w:rFonts w:ascii="David" w:hAnsi="David"/>
          <w:rtl/>
        </w:rPr>
        <w:t>לפני בקשה לדחיית התביעה על הסף, מחמת העדר סמכות עניינית.</w:t>
      </w:r>
    </w:p>
    <w:p w:rsidR="004319AA" w:rsidRDefault="00850196" w:rsidP="004319AA">
      <w:pPr>
        <w:spacing w:line="360" w:lineRule="auto"/>
        <w:jc w:val="both"/>
        <w:rPr>
          <w:rFonts w:ascii="David" w:hAnsi="David"/>
          <w:b/>
          <w:bCs/>
          <w:u w:val="single"/>
          <w:rtl/>
        </w:rPr>
      </w:pPr>
      <w:r>
        <w:rPr>
          <w:rFonts w:ascii="David" w:hAnsi="David"/>
          <w:rtl/>
        </w:rPr>
        <w:t xml:space="preserve">עניינה של החלטה זו היא </w:t>
      </w:r>
      <w:r w:rsidR="004319AA">
        <w:rPr>
          <w:rFonts w:ascii="David" w:hAnsi="David"/>
          <w:rtl/>
        </w:rPr>
        <w:t xml:space="preserve">בסוגיה מי היא הערכאה המוסמכת לדון בתביעה לאכיפת </w:t>
      </w:r>
      <w:r>
        <w:rPr>
          <w:rFonts w:ascii="David" w:hAnsi="David" w:hint="cs"/>
          <w:rtl/>
        </w:rPr>
        <w:t>סעיף ב</w:t>
      </w:r>
      <w:r w:rsidR="004319AA">
        <w:rPr>
          <w:rFonts w:ascii="David" w:hAnsi="David"/>
          <w:rtl/>
        </w:rPr>
        <w:t xml:space="preserve">הסכם </w:t>
      </w:r>
      <w:r>
        <w:rPr>
          <w:rFonts w:ascii="David" w:hAnsi="David" w:hint="cs"/>
          <w:rtl/>
        </w:rPr>
        <w:t>ה</w:t>
      </w:r>
      <w:r w:rsidR="004319AA">
        <w:rPr>
          <w:rFonts w:ascii="David" w:hAnsi="David"/>
          <w:rtl/>
        </w:rPr>
        <w:t xml:space="preserve">גירושין שאושר </w:t>
      </w:r>
      <w:r>
        <w:rPr>
          <w:rFonts w:ascii="David" w:hAnsi="David" w:hint="cs"/>
          <w:rtl/>
        </w:rPr>
        <w:t xml:space="preserve">וקבל תוקף של פסק דין </w:t>
      </w:r>
      <w:r w:rsidR="004319AA">
        <w:rPr>
          <w:rFonts w:ascii="David" w:hAnsi="David"/>
          <w:rtl/>
        </w:rPr>
        <w:t>ע"י בית הדין הרבני</w:t>
      </w:r>
      <w:r>
        <w:rPr>
          <w:rFonts w:ascii="David" w:hAnsi="David" w:hint="cs"/>
          <w:rtl/>
        </w:rPr>
        <w:t>,</w:t>
      </w:r>
      <w:r w:rsidR="004319AA">
        <w:rPr>
          <w:rFonts w:ascii="David" w:hAnsi="David"/>
          <w:rtl/>
        </w:rPr>
        <w:t xml:space="preserve"> בנסיבותיו של מקרה זה.</w:t>
      </w:r>
    </w:p>
    <w:p w:rsidR="004319AA" w:rsidRDefault="004319AA" w:rsidP="004319AA">
      <w:pPr>
        <w:jc w:val="both"/>
        <w:rPr>
          <w:rFonts w:ascii="David" w:hAnsi="David"/>
          <w:b/>
          <w:bCs/>
          <w:u w:val="single"/>
          <w:rtl/>
        </w:rPr>
      </w:pPr>
    </w:p>
    <w:p w:rsidR="004319AA" w:rsidRDefault="004319AA" w:rsidP="004260CE">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נישאו ביום </w:t>
      </w:r>
      <w:r w:rsidR="004260CE">
        <w:rPr>
          <w:rFonts w:ascii="David" w:hAnsi="David" w:cs="David" w:hint="cs"/>
          <w:sz w:val="24"/>
          <w:szCs w:val="24"/>
          <w:rtl/>
        </w:rPr>
        <w:t>***</w:t>
      </w:r>
      <w:r>
        <w:rPr>
          <w:rFonts w:ascii="David" w:hAnsi="David" w:cs="David"/>
          <w:sz w:val="24"/>
          <w:szCs w:val="24"/>
          <w:rtl/>
        </w:rPr>
        <w:t xml:space="preserve">, מנישואים אלו נולדו להם שני ילדים. </w:t>
      </w:r>
    </w:p>
    <w:p w:rsidR="004319AA" w:rsidRDefault="004319AA" w:rsidP="004319AA">
      <w:pPr>
        <w:pStyle w:val="ad"/>
        <w:spacing w:after="0" w:line="240" w:lineRule="auto"/>
        <w:ind w:left="360"/>
        <w:jc w:val="both"/>
        <w:rPr>
          <w:rFonts w:ascii="David" w:hAnsi="David" w:cs="David"/>
          <w:sz w:val="24"/>
          <w:szCs w:val="24"/>
        </w:rPr>
      </w:pPr>
    </w:p>
    <w:p w:rsidR="004319AA" w:rsidRDefault="004319AA" w:rsidP="004260C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ערכו הליך גישור שבסיומו חתמו ביום </w:t>
      </w:r>
      <w:r w:rsidR="004260CE">
        <w:rPr>
          <w:rFonts w:ascii="David" w:hAnsi="David" w:cs="David" w:hint="cs"/>
          <w:sz w:val="24"/>
          <w:szCs w:val="24"/>
          <w:rtl/>
        </w:rPr>
        <w:t>****</w:t>
      </w:r>
      <w:r>
        <w:rPr>
          <w:rFonts w:ascii="David" w:hAnsi="David" w:cs="David"/>
          <w:sz w:val="24"/>
          <w:szCs w:val="24"/>
          <w:rtl/>
        </w:rPr>
        <w:t xml:space="preserve"> על הסכם גירושין ויחסי ממון (להלן: "</w:t>
      </w:r>
      <w:r>
        <w:rPr>
          <w:rFonts w:ascii="David" w:hAnsi="David" w:cs="David"/>
          <w:b/>
          <w:bCs/>
          <w:sz w:val="24"/>
          <w:szCs w:val="24"/>
          <w:rtl/>
        </w:rPr>
        <w:t>ההסכם</w:t>
      </w:r>
      <w:r>
        <w:rPr>
          <w:rFonts w:ascii="David" w:hAnsi="David" w:cs="David"/>
          <w:sz w:val="24"/>
          <w:szCs w:val="24"/>
          <w:rtl/>
        </w:rPr>
        <w:t xml:space="preserve">"). ההסכם קיבל תוקף של פסק דין ביום </w:t>
      </w:r>
      <w:r w:rsidR="004260CE">
        <w:rPr>
          <w:rFonts w:ascii="David" w:hAnsi="David" w:cs="David" w:hint="cs"/>
          <w:sz w:val="24"/>
          <w:szCs w:val="24"/>
          <w:rtl/>
        </w:rPr>
        <w:t>****</w:t>
      </w:r>
      <w:r>
        <w:rPr>
          <w:rFonts w:ascii="David" w:hAnsi="David" w:cs="David"/>
          <w:sz w:val="24"/>
          <w:szCs w:val="24"/>
          <w:rtl/>
        </w:rPr>
        <w:t xml:space="preserve"> בבית הדין הרבני תל אביב.</w:t>
      </w:r>
    </w:p>
    <w:p w:rsidR="004319AA" w:rsidRDefault="004319AA" w:rsidP="00850196">
      <w:pPr>
        <w:pStyle w:val="ad"/>
        <w:spacing w:line="360" w:lineRule="auto"/>
        <w:ind w:left="360"/>
        <w:jc w:val="both"/>
        <w:rPr>
          <w:rFonts w:ascii="David" w:hAnsi="David" w:cs="David"/>
          <w:sz w:val="24"/>
          <w:szCs w:val="24"/>
        </w:rPr>
      </w:pPr>
      <w:r>
        <w:rPr>
          <w:rFonts w:ascii="David" w:hAnsi="David" w:cs="David"/>
          <w:sz w:val="24"/>
          <w:szCs w:val="24"/>
          <w:rtl/>
        </w:rPr>
        <w:t>ההסכם הסדיר את מכלול ענייניהם של הצדדים לרבות: ענייני ההורות, זמני שהות, מזונות ורכוש, והצדדים התגרשו.</w:t>
      </w:r>
    </w:p>
    <w:p w:rsidR="004319AA" w:rsidRPr="00850196" w:rsidRDefault="004319AA" w:rsidP="004319AA">
      <w:pPr>
        <w:pStyle w:val="ad"/>
        <w:spacing w:line="24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בסעיף 32 להסכם נקבע:</w:t>
      </w:r>
    </w:p>
    <w:p w:rsidR="004319AA" w:rsidRDefault="004260CE" w:rsidP="004260CE">
      <w:pPr>
        <w:pStyle w:val="ad"/>
        <w:spacing w:line="360" w:lineRule="auto"/>
        <w:ind w:left="360"/>
        <w:jc w:val="both"/>
        <w:rPr>
          <w:rFonts w:ascii="David" w:hAnsi="David" w:cs="David"/>
          <w:sz w:val="24"/>
          <w:szCs w:val="24"/>
        </w:rPr>
      </w:pPr>
      <w:r>
        <w:rPr>
          <w:rFonts w:ascii="David" w:hAnsi="David" w:cs="David"/>
          <w:b/>
          <w:bCs/>
          <w:sz w:val="24"/>
          <w:szCs w:val="24"/>
          <w:rtl/>
        </w:rPr>
        <w:t>" הרכבים מסו</w:t>
      </w:r>
      <w:r>
        <w:rPr>
          <w:rFonts w:ascii="David" w:hAnsi="David" w:cs="David" w:hint="cs"/>
          <w:b/>
          <w:bCs/>
          <w:sz w:val="24"/>
          <w:szCs w:val="24"/>
          <w:rtl/>
        </w:rPr>
        <w:t>ג</w:t>
      </w:r>
      <w:r w:rsidR="004319AA">
        <w:rPr>
          <w:rFonts w:ascii="David" w:hAnsi="David" w:cs="David"/>
          <w:b/>
          <w:bCs/>
          <w:sz w:val="24"/>
          <w:szCs w:val="24"/>
          <w:rtl/>
        </w:rPr>
        <w:t xml:space="preserve"> </w:t>
      </w:r>
      <w:r>
        <w:rPr>
          <w:rFonts w:ascii="David" w:hAnsi="David" w:cs="David" w:hint="cs"/>
          <w:b/>
          <w:bCs/>
          <w:sz w:val="24"/>
          <w:szCs w:val="24"/>
          <w:rtl/>
        </w:rPr>
        <w:t>**** שנת</w:t>
      </w:r>
      <w:r w:rsidR="004319AA">
        <w:rPr>
          <w:rFonts w:ascii="David" w:hAnsi="David" w:cs="David"/>
          <w:b/>
          <w:bCs/>
          <w:sz w:val="24"/>
          <w:szCs w:val="24"/>
          <w:rtl/>
        </w:rPr>
        <w:t xml:space="preserve"> יצור </w:t>
      </w:r>
      <w:r>
        <w:rPr>
          <w:rFonts w:ascii="David" w:hAnsi="David" w:cs="David" w:hint="cs"/>
          <w:b/>
          <w:bCs/>
          <w:sz w:val="24"/>
          <w:szCs w:val="24"/>
          <w:rtl/>
        </w:rPr>
        <w:t>***</w:t>
      </w:r>
      <w:r w:rsidR="004319AA">
        <w:rPr>
          <w:rFonts w:ascii="David" w:hAnsi="David" w:cs="David"/>
          <w:b/>
          <w:bCs/>
          <w:sz w:val="24"/>
          <w:szCs w:val="24"/>
          <w:rtl/>
        </w:rPr>
        <w:t xml:space="preserve"> ורכב </w:t>
      </w:r>
      <w:r>
        <w:rPr>
          <w:rFonts w:ascii="David" w:hAnsi="David" w:cs="David" w:hint="cs"/>
          <w:b/>
          <w:bCs/>
          <w:sz w:val="24"/>
          <w:szCs w:val="24"/>
          <w:rtl/>
        </w:rPr>
        <w:t>****</w:t>
      </w:r>
      <w:r w:rsidR="004319AA">
        <w:rPr>
          <w:rFonts w:ascii="David" w:hAnsi="David" w:cs="David"/>
          <w:b/>
          <w:bCs/>
          <w:sz w:val="24"/>
          <w:szCs w:val="24"/>
          <w:rtl/>
        </w:rPr>
        <w:t xml:space="preserve"> שנת יצור </w:t>
      </w:r>
      <w:r>
        <w:rPr>
          <w:rFonts w:ascii="David" w:hAnsi="David" w:cs="David" w:hint="cs"/>
          <w:b/>
          <w:bCs/>
          <w:sz w:val="24"/>
          <w:szCs w:val="24"/>
          <w:rtl/>
        </w:rPr>
        <w:t>***</w:t>
      </w:r>
      <w:r w:rsidR="004319AA">
        <w:rPr>
          <w:rFonts w:ascii="David" w:hAnsi="David" w:cs="David"/>
          <w:b/>
          <w:bCs/>
          <w:sz w:val="24"/>
          <w:szCs w:val="24"/>
          <w:rtl/>
        </w:rPr>
        <w:t xml:space="preserve"> יוצאו למכירה והשווי יחולק שווה בשווה".</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בכתב התביעה טענה התובעת, כי הנתבע לקח על עצמו את מכירת שני הרכבים והתחייב להעביר לה מחצית מתמורתם. </w:t>
      </w:r>
    </w:p>
    <w:p w:rsidR="004319AA" w:rsidRDefault="004319AA" w:rsidP="004260CE">
      <w:pPr>
        <w:pStyle w:val="ad"/>
        <w:spacing w:line="360" w:lineRule="auto"/>
        <w:ind w:left="360"/>
        <w:jc w:val="both"/>
        <w:rPr>
          <w:rFonts w:ascii="David" w:hAnsi="David" w:cs="David"/>
          <w:sz w:val="24"/>
          <w:szCs w:val="24"/>
        </w:rPr>
      </w:pPr>
      <w:r>
        <w:rPr>
          <w:rFonts w:ascii="David" w:hAnsi="David" w:cs="David"/>
          <w:sz w:val="24"/>
          <w:szCs w:val="24"/>
          <w:rtl/>
        </w:rPr>
        <w:t xml:space="preserve">כאשר הרכב מסוג </w:t>
      </w:r>
      <w:r w:rsidR="004260CE">
        <w:rPr>
          <w:rFonts w:ascii="David" w:hAnsi="David" w:cs="David" w:hint="cs"/>
          <w:sz w:val="24"/>
          <w:szCs w:val="24"/>
          <w:rtl/>
        </w:rPr>
        <w:t>****</w:t>
      </w:r>
      <w:r>
        <w:rPr>
          <w:rFonts w:ascii="David" w:hAnsi="David" w:cs="David"/>
          <w:sz w:val="24"/>
          <w:szCs w:val="24"/>
          <w:rtl/>
        </w:rPr>
        <w:t xml:space="preserve"> נמכר, אמר לה הנתבע, כי נמכר בסך של 20,000 ₪, ואולם לטענתה לא הציג לה כל מסמך </w:t>
      </w:r>
      <w:r w:rsidR="00C51A26">
        <w:rPr>
          <w:rFonts w:ascii="David" w:hAnsi="David" w:cs="David"/>
          <w:sz w:val="24"/>
          <w:szCs w:val="24"/>
          <w:rtl/>
        </w:rPr>
        <w:t>בגין מכירתו</w:t>
      </w:r>
      <w:r w:rsidR="00C51A26">
        <w:rPr>
          <w:rFonts w:ascii="David" w:hAnsi="David" w:cs="David" w:hint="cs"/>
          <w:sz w:val="24"/>
          <w:szCs w:val="24"/>
          <w:rtl/>
        </w:rPr>
        <w:t>,</w:t>
      </w:r>
      <w:r>
        <w:rPr>
          <w:rFonts w:ascii="David" w:hAnsi="David" w:cs="David"/>
          <w:sz w:val="24"/>
          <w:szCs w:val="24"/>
          <w:rtl/>
        </w:rPr>
        <w:t xml:space="preserve"> אך העביר לה את מלוא הסכום שלטענתו ק</w:t>
      </w:r>
      <w:r>
        <w:rPr>
          <w:rFonts w:ascii="David" w:hAnsi="David" w:cs="David" w:hint="cs"/>
          <w:sz w:val="24"/>
          <w:szCs w:val="24"/>
          <w:rtl/>
        </w:rPr>
        <w:t>י</w:t>
      </w:r>
      <w:r>
        <w:rPr>
          <w:rFonts w:ascii="David" w:hAnsi="David" w:cs="David"/>
          <w:sz w:val="24"/>
          <w:szCs w:val="24"/>
          <w:rtl/>
        </w:rPr>
        <w:t>בל עבור ה</w:t>
      </w:r>
      <w:r w:rsidR="004260CE">
        <w:rPr>
          <w:rFonts w:ascii="David" w:hAnsi="David" w:cs="David" w:hint="cs"/>
          <w:sz w:val="24"/>
          <w:szCs w:val="24"/>
          <w:rtl/>
        </w:rPr>
        <w:t>***</w:t>
      </w:r>
      <w:r>
        <w:rPr>
          <w:rFonts w:ascii="David" w:hAnsi="David" w:cs="David"/>
          <w:sz w:val="24"/>
          <w:szCs w:val="24"/>
          <w:rtl/>
        </w:rPr>
        <w:t xml:space="preserve">. </w:t>
      </w:r>
    </w:p>
    <w:p w:rsidR="004319AA" w:rsidRDefault="004319AA" w:rsidP="004260CE">
      <w:pPr>
        <w:pStyle w:val="ad"/>
        <w:spacing w:line="360" w:lineRule="auto"/>
        <w:ind w:left="360"/>
        <w:jc w:val="both"/>
        <w:rPr>
          <w:rFonts w:ascii="David" w:hAnsi="David" w:cs="David"/>
          <w:sz w:val="24"/>
          <w:szCs w:val="24"/>
        </w:rPr>
      </w:pPr>
      <w:r>
        <w:rPr>
          <w:rFonts w:ascii="David" w:hAnsi="David" w:cs="David"/>
          <w:sz w:val="24"/>
          <w:szCs w:val="24"/>
          <w:rtl/>
        </w:rPr>
        <w:t xml:space="preserve">עוד טענה התובעת, כי בחודש 10/22 מכר הנתבע את רכב </w:t>
      </w:r>
      <w:r w:rsidR="004260CE">
        <w:rPr>
          <w:rFonts w:ascii="David" w:hAnsi="David" w:cs="David" w:hint="cs"/>
          <w:sz w:val="24"/>
          <w:szCs w:val="24"/>
          <w:rtl/>
        </w:rPr>
        <w:t>****</w:t>
      </w:r>
      <w:r>
        <w:rPr>
          <w:rFonts w:ascii="David" w:hAnsi="David" w:cs="David"/>
          <w:sz w:val="24"/>
          <w:szCs w:val="24"/>
          <w:rtl/>
        </w:rPr>
        <w:t xml:space="preserve"> בסך של 63,000 ₪ לטענתו, והוסכם ביניהם כי יתקזזו בעת מכירת רכב </w:t>
      </w:r>
      <w:r w:rsidR="004260CE">
        <w:rPr>
          <w:rFonts w:ascii="David" w:hAnsi="David" w:cs="David" w:hint="cs"/>
          <w:sz w:val="24"/>
          <w:szCs w:val="24"/>
          <w:rtl/>
        </w:rPr>
        <w:t>***.</w:t>
      </w:r>
      <w:r>
        <w:rPr>
          <w:rFonts w:ascii="David" w:hAnsi="David" w:cs="David"/>
          <w:sz w:val="24"/>
          <w:szCs w:val="24"/>
          <w:rtl/>
        </w:rPr>
        <w:t xml:space="preserve"> </w:t>
      </w:r>
    </w:p>
    <w:p w:rsidR="004319AA" w:rsidRDefault="004319AA" w:rsidP="004260CE">
      <w:pPr>
        <w:pStyle w:val="ad"/>
        <w:spacing w:line="360" w:lineRule="auto"/>
        <w:ind w:left="360"/>
        <w:jc w:val="both"/>
        <w:rPr>
          <w:rFonts w:ascii="David" w:hAnsi="David" w:cs="David"/>
          <w:sz w:val="24"/>
          <w:szCs w:val="24"/>
          <w:rtl/>
        </w:rPr>
      </w:pPr>
      <w:r>
        <w:rPr>
          <w:rFonts w:ascii="David" w:hAnsi="David" w:cs="David"/>
          <w:sz w:val="24"/>
          <w:szCs w:val="24"/>
          <w:rtl/>
        </w:rPr>
        <w:t xml:space="preserve">לטענת התובעת אינה מאמינה לנתבע כי מכר את שני הרכבים במחיר שציין, וכן הנתבע לא העביר לה את חלקה ברכב </w:t>
      </w:r>
      <w:r w:rsidR="004260CE">
        <w:rPr>
          <w:rFonts w:ascii="David" w:hAnsi="David" w:cs="David" w:hint="cs"/>
          <w:sz w:val="24"/>
          <w:szCs w:val="24"/>
          <w:rtl/>
        </w:rPr>
        <w:t>****</w:t>
      </w:r>
      <w:r>
        <w:rPr>
          <w:rFonts w:ascii="David" w:hAnsi="David" w:cs="David"/>
          <w:sz w:val="24"/>
          <w:szCs w:val="24"/>
          <w:rtl/>
        </w:rPr>
        <w:t xml:space="preserve"> שנמכר </w:t>
      </w:r>
      <w:r>
        <w:rPr>
          <w:rFonts w:ascii="David" w:hAnsi="David" w:cs="David"/>
          <w:b/>
          <w:bCs/>
          <w:sz w:val="24"/>
          <w:szCs w:val="24"/>
          <w:rtl/>
        </w:rPr>
        <w:t xml:space="preserve">(ראה: סעיפים 9-10 לכתב התביעה). </w:t>
      </w:r>
      <w:r>
        <w:rPr>
          <w:rFonts w:ascii="David" w:hAnsi="David" w:cs="David"/>
          <w:sz w:val="24"/>
          <w:szCs w:val="24"/>
          <w:rtl/>
        </w:rPr>
        <w:t xml:space="preserve"> </w:t>
      </w: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התובעת עותרת לאכיפת סעיף 32 להסכם ומבקשת כי יוצגו לה אסמכתאות לעניין מכירת שני הרכבים.  </w:t>
      </w:r>
    </w:p>
    <w:p w:rsidR="004319AA" w:rsidRDefault="004319AA" w:rsidP="004260CE">
      <w:pPr>
        <w:pStyle w:val="ad"/>
        <w:spacing w:line="360" w:lineRule="auto"/>
        <w:ind w:left="360"/>
        <w:jc w:val="both"/>
        <w:rPr>
          <w:rFonts w:ascii="David" w:hAnsi="David" w:cs="David"/>
          <w:sz w:val="24"/>
          <w:szCs w:val="24"/>
          <w:rtl/>
        </w:rPr>
      </w:pPr>
      <w:r>
        <w:rPr>
          <w:rFonts w:ascii="David" w:hAnsi="David" w:cs="David"/>
          <w:sz w:val="24"/>
          <w:szCs w:val="24"/>
          <w:rtl/>
        </w:rPr>
        <w:t xml:space="preserve">מנגד טען הנתבע בכתב ההגנה, כי רכב </w:t>
      </w:r>
      <w:r w:rsidR="004260CE">
        <w:rPr>
          <w:rFonts w:ascii="David" w:hAnsi="David" w:cs="David" w:hint="cs"/>
          <w:sz w:val="24"/>
          <w:szCs w:val="24"/>
          <w:rtl/>
        </w:rPr>
        <w:t>****</w:t>
      </w:r>
      <w:r>
        <w:rPr>
          <w:rFonts w:ascii="David" w:hAnsi="David" w:cs="David"/>
          <w:sz w:val="24"/>
          <w:szCs w:val="24"/>
          <w:rtl/>
        </w:rPr>
        <w:t xml:space="preserve"> נמכר בסכום של 20,500 ₪ ורכב </w:t>
      </w:r>
      <w:r w:rsidR="004260CE">
        <w:rPr>
          <w:rFonts w:ascii="David" w:hAnsi="David" w:cs="David" w:hint="cs"/>
          <w:sz w:val="24"/>
          <w:szCs w:val="24"/>
          <w:rtl/>
        </w:rPr>
        <w:t>****</w:t>
      </w:r>
      <w:r>
        <w:rPr>
          <w:rFonts w:ascii="David" w:hAnsi="David" w:cs="David"/>
          <w:sz w:val="24"/>
          <w:szCs w:val="24"/>
          <w:rtl/>
        </w:rPr>
        <w:t xml:space="preserve"> בסכום של 60,800 ₪. </w:t>
      </w:r>
    </w:p>
    <w:p w:rsidR="004319AA" w:rsidRDefault="004319AA" w:rsidP="004260CE">
      <w:pPr>
        <w:pStyle w:val="ad"/>
        <w:spacing w:line="360" w:lineRule="auto"/>
        <w:ind w:left="360"/>
        <w:jc w:val="both"/>
        <w:rPr>
          <w:rFonts w:ascii="David" w:hAnsi="David" w:cs="David"/>
          <w:b/>
          <w:bCs/>
          <w:sz w:val="24"/>
          <w:szCs w:val="24"/>
          <w:rtl/>
        </w:rPr>
      </w:pPr>
      <w:r>
        <w:rPr>
          <w:rFonts w:ascii="David" w:hAnsi="David" w:cs="David"/>
          <w:sz w:val="24"/>
          <w:szCs w:val="24"/>
          <w:rtl/>
        </w:rPr>
        <w:t xml:space="preserve">לטענתו העביר לתובעת בעקבות הסכמות ביניהם את חלקו ממכירת רכב </w:t>
      </w:r>
      <w:r w:rsidR="004260CE">
        <w:rPr>
          <w:rFonts w:ascii="David" w:hAnsi="David" w:cs="David" w:hint="cs"/>
          <w:sz w:val="24"/>
          <w:szCs w:val="24"/>
          <w:rtl/>
        </w:rPr>
        <w:t>****</w:t>
      </w:r>
      <w:r>
        <w:rPr>
          <w:rFonts w:ascii="David" w:hAnsi="David" w:cs="David"/>
          <w:sz w:val="24"/>
          <w:szCs w:val="24"/>
          <w:rtl/>
        </w:rPr>
        <w:t xml:space="preserve"> (10,250 ₪) דהיינו העביר לה את כל תמורת המכר בגין </w:t>
      </w:r>
      <w:r w:rsidR="004260CE">
        <w:rPr>
          <w:rFonts w:ascii="David" w:hAnsi="David" w:cs="David" w:hint="cs"/>
          <w:sz w:val="24"/>
          <w:szCs w:val="24"/>
          <w:rtl/>
        </w:rPr>
        <w:t>****</w:t>
      </w:r>
      <w:r>
        <w:rPr>
          <w:rFonts w:ascii="David" w:hAnsi="David" w:cs="David"/>
          <w:sz w:val="24"/>
          <w:szCs w:val="24"/>
          <w:rtl/>
        </w:rPr>
        <w:t xml:space="preserve"> (20,500 ₪), וכן שילם בעבורה עבור הוצאות אותן </w:t>
      </w:r>
      <w:r w:rsidR="00C51A26">
        <w:rPr>
          <w:rFonts w:ascii="David" w:hAnsi="David" w:cs="David" w:hint="cs"/>
          <w:sz w:val="24"/>
          <w:szCs w:val="24"/>
          <w:rtl/>
        </w:rPr>
        <w:t xml:space="preserve">פרט </w:t>
      </w:r>
      <w:r w:rsidR="00C51A26">
        <w:rPr>
          <w:rFonts w:ascii="David" w:hAnsi="David" w:cs="David"/>
          <w:sz w:val="24"/>
          <w:szCs w:val="24"/>
          <w:rtl/>
        </w:rPr>
        <w:t>בכתב ההגנה כגון</w:t>
      </w:r>
      <w:r>
        <w:rPr>
          <w:rFonts w:ascii="David" w:hAnsi="David" w:cs="David"/>
          <w:sz w:val="24"/>
          <w:szCs w:val="24"/>
          <w:rtl/>
        </w:rPr>
        <w:t xml:space="preserve">: תמי 4, הוצאות חשמל, חלקה במשכנתא, טיפולי בוטוקס </w:t>
      </w:r>
      <w:proofErr w:type="spellStart"/>
      <w:r>
        <w:rPr>
          <w:rFonts w:ascii="David" w:hAnsi="David" w:cs="David"/>
          <w:sz w:val="24"/>
          <w:szCs w:val="24"/>
          <w:rtl/>
        </w:rPr>
        <w:t>וכו</w:t>
      </w:r>
      <w:proofErr w:type="spellEnd"/>
      <w:r>
        <w:rPr>
          <w:rFonts w:ascii="David" w:hAnsi="David" w:cs="David"/>
          <w:sz w:val="24"/>
          <w:szCs w:val="24"/>
          <w:rtl/>
        </w:rPr>
        <w:t xml:space="preserve">..כך שלא מגיע לה כספים נוספים ממנו, אף התובעת חייבת לו כספים </w:t>
      </w:r>
      <w:r>
        <w:rPr>
          <w:rFonts w:ascii="David" w:hAnsi="David" w:cs="David"/>
          <w:b/>
          <w:bCs/>
          <w:sz w:val="24"/>
          <w:szCs w:val="24"/>
          <w:rtl/>
        </w:rPr>
        <w:t>(ראה: סעיפים 11-12 לכתב ההגנה).</w:t>
      </w:r>
    </w:p>
    <w:p w:rsidR="004319AA" w:rsidRDefault="004319AA" w:rsidP="004319AA">
      <w:pPr>
        <w:pStyle w:val="ad"/>
        <w:spacing w:line="240" w:lineRule="auto"/>
        <w:ind w:left="360"/>
        <w:jc w:val="both"/>
        <w:rPr>
          <w:rFonts w:ascii="David" w:hAnsi="David" w:cs="David"/>
          <w:sz w:val="24"/>
          <w:szCs w:val="24"/>
        </w:rPr>
      </w:pPr>
    </w:p>
    <w:p w:rsidR="004319AA" w:rsidRDefault="004319AA" w:rsidP="004260CE">
      <w:pPr>
        <w:pStyle w:val="ad"/>
        <w:numPr>
          <w:ilvl w:val="0"/>
          <w:numId w:val="1"/>
        </w:numPr>
        <w:spacing w:line="360" w:lineRule="auto"/>
        <w:jc w:val="both"/>
        <w:rPr>
          <w:rFonts w:ascii="David" w:hAnsi="David" w:cs="David"/>
          <w:sz w:val="24"/>
          <w:szCs w:val="24"/>
        </w:rPr>
      </w:pPr>
      <w:r>
        <w:rPr>
          <w:rFonts w:ascii="David" w:hAnsi="David" w:cs="David"/>
          <w:sz w:val="24"/>
          <w:szCs w:val="24"/>
          <w:rtl/>
        </w:rPr>
        <w:t>ביום</w:t>
      </w:r>
      <w:r w:rsidR="004260CE">
        <w:rPr>
          <w:rFonts w:ascii="David" w:hAnsi="David" w:cs="David" w:hint="cs"/>
          <w:sz w:val="24"/>
          <w:szCs w:val="24"/>
          <w:rtl/>
        </w:rPr>
        <w:t xml:space="preserve"> ****</w:t>
      </w:r>
      <w:r>
        <w:rPr>
          <w:rFonts w:ascii="David" w:hAnsi="David" w:cs="David"/>
          <w:sz w:val="24"/>
          <w:szCs w:val="24"/>
          <w:rtl/>
        </w:rPr>
        <w:t xml:space="preserve"> הגישה התובעת בעצמה תביעה לאכיפת ההסכם לבית הדין הרבני. </w:t>
      </w:r>
    </w:p>
    <w:p w:rsidR="004319AA" w:rsidRDefault="004319AA" w:rsidP="004260CE">
      <w:pPr>
        <w:pStyle w:val="ad"/>
        <w:spacing w:line="360" w:lineRule="auto"/>
        <w:ind w:left="360"/>
        <w:jc w:val="both"/>
        <w:rPr>
          <w:rFonts w:ascii="David" w:hAnsi="David" w:cs="David"/>
          <w:sz w:val="24"/>
          <w:szCs w:val="24"/>
        </w:rPr>
      </w:pPr>
      <w:r>
        <w:rPr>
          <w:rFonts w:ascii="David" w:hAnsi="David" w:cs="David"/>
          <w:sz w:val="24"/>
          <w:szCs w:val="24"/>
          <w:rtl/>
        </w:rPr>
        <w:t xml:space="preserve">לאחר הסדרת ייצוג התובעת הגישה בקשה לקביעת דיון דחוף לבית הדין הרבני באמצעות בא כוחה, ובית הדין הרבני קבע דיון בתיק ליום </w:t>
      </w:r>
      <w:r w:rsidR="004260CE">
        <w:rPr>
          <w:rFonts w:ascii="David" w:hAnsi="David" w:cs="David" w:hint="cs"/>
          <w:sz w:val="24"/>
          <w:szCs w:val="24"/>
          <w:rtl/>
        </w:rPr>
        <w:t>***.</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 xml:space="preserve">הנתבע הגיש כתב הגנה בעצמו. לאחר הסדרת ייצוגו, הוגשה בקשה לדחיית מועד הדיון ע"י בא כוחו. </w:t>
      </w:r>
    </w:p>
    <w:p w:rsidR="004319AA" w:rsidRDefault="004319AA" w:rsidP="004260CE">
      <w:pPr>
        <w:pStyle w:val="ad"/>
        <w:spacing w:line="360" w:lineRule="auto"/>
        <w:ind w:left="360"/>
        <w:jc w:val="both"/>
        <w:rPr>
          <w:rFonts w:ascii="David" w:hAnsi="David" w:cs="David"/>
          <w:sz w:val="24"/>
          <w:szCs w:val="24"/>
          <w:rtl/>
        </w:rPr>
      </w:pPr>
      <w:r>
        <w:rPr>
          <w:rFonts w:ascii="David" w:hAnsi="David" w:cs="David"/>
          <w:sz w:val="24"/>
          <w:szCs w:val="24"/>
          <w:rtl/>
        </w:rPr>
        <w:t>בהחלטת בית הדין הרבני מיום</w:t>
      </w:r>
      <w:r w:rsidR="004260CE">
        <w:rPr>
          <w:rFonts w:ascii="David" w:hAnsi="David" w:cs="David" w:hint="cs"/>
          <w:sz w:val="24"/>
          <w:szCs w:val="24"/>
          <w:rtl/>
        </w:rPr>
        <w:t xml:space="preserve"> ****</w:t>
      </w:r>
      <w:r>
        <w:rPr>
          <w:rFonts w:ascii="David" w:hAnsi="David" w:cs="David"/>
          <w:sz w:val="24"/>
          <w:szCs w:val="24"/>
          <w:rtl/>
        </w:rPr>
        <w:t xml:space="preserve"> נעתר בית הדין לבקשה והורה על דחית הדיון ליום</w:t>
      </w:r>
      <w:r w:rsidR="004260CE">
        <w:rPr>
          <w:rFonts w:ascii="David" w:hAnsi="David" w:cs="David" w:hint="cs"/>
          <w:sz w:val="24"/>
          <w:szCs w:val="24"/>
          <w:rtl/>
        </w:rPr>
        <w:t xml:space="preserve"> ****</w:t>
      </w:r>
      <w:r>
        <w:rPr>
          <w:rFonts w:ascii="David" w:hAnsi="David" w:cs="David"/>
          <w:sz w:val="24"/>
          <w:szCs w:val="24"/>
          <w:rtl/>
        </w:rPr>
        <w:t xml:space="preserve">. </w:t>
      </w:r>
    </w:p>
    <w:p w:rsidR="004319AA" w:rsidRDefault="004319AA" w:rsidP="004260CE">
      <w:pPr>
        <w:pStyle w:val="ad"/>
        <w:spacing w:line="360" w:lineRule="auto"/>
        <w:ind w:left="360"/>
        <w:jc w:val="both"/>
        <w:rPr>
          <w:rFonts w:ascii="David" w:hAnsi="David" w:cs="David"/>
          <w:sz w:val="24"/>
          <w:szCs w:val="24"/>
          <w:rtl/>
        </w:rPr>
      </w:pPr>
      <w:r>
        <w:rPr>
          <w:rFonts w:ascii="David" w:hAnsi="David" w:cs="David"/>
          <w:sz w:val="24"/>
          <w:szCs w:val="24"/>
          <w:rtl/>
        </w:rPr>
        <w:t>ביום</w:t>
      </w:r>
      <w:r w:rsidR="004260CE">
        <w:rPr>
          <w:rFonts w:ascii="David" w:hAnsi="David" w:cs="David" w:hint="cs"/>
          <w:sz w:val="24"/>
          <w:szCs w:val="24"/>
          <w:rtl/>
        </w:rPr>
        <w:t xml:space="preserve"> ****</w:t>
      </w:r>
      <w:r>
        <w:rPr>
          <w:rFonts w:ascii="David" w:hAnsi="David" w:cs="David"/>
          <w:sz w:val="24"/>
          <w:szCs w:val="24"/>
          <w:rtl/>
        </w:rPr>
        <w:t xml:space="preserve"> הגיש ב"כ התובעת בקשה לסגירת התיק ללא צו להוצאות. </w:t>
      </w:r>
    </w:p>
    <w:p w:rsidR="004319AA" w:rsidRDefault="004319AA" w:rsidP="004260CE">
      <w:pPr>
        <w:pStyle w:val="ad"/>
        <w:spacing w:line="360" w:lineRule="auto"/>
        <w:ind w:left="360"/>
        <w:jc w:val="both"/>
        <w:rPr>
          <w:rFonts w:ascii="David" w:hAnsi="David" w:cs="David"/>
          <w:b/>
          <w:bCs/>
          <w:sz w:val="24"/>
          <w:szCs w:val="24"/>
          <w:rtl/>
        </w:rPr>
      </w:pPr>
      <w:r>
        <w:rPr>
          <w:rFonts w:ascii="David" w:hAnsi="David" w:cs="David"/>
          <w:sz w:val="24"/>
          <w:szCs w:val="24"/>
          <w:rtl/>
        </w:rPr>
        <w:t>ביום</w:t>
      </w:r>
      <w:r w:rsidR="004260CE">
        <w:rPr>
          <w:rFonts w:ascii="David" w:hAnsi="David" w:cs="David" w:hint="cs"/>
          <w:sz w:val="24"/>
          <w:szCs w:val="24"/>
          <w:rtl/>
        </w:rPr>
        <w:t xml:space="preserve"> ****</w:t>
      </w:r>
      <w:r>
        <w:rPr>
          <w:rFonts w:ascii="David" w:hAnsi="David" w:cs="David"/>
          <w:sz w:val="24"/>
          <w:szCs w:val="24"/>
          <w:rtl/>
        </w:rPr>
        <w:t xml:space="preserve"> נעתר בית הדין הרבני לבקשה וקבע בהחלטתו: </w:t>
      </w:r>
      <w:r>
        <w:rPr>
          <w:rFonts w:ascii="David" w:hAnsi="David" w:cs="David"/>
          <w:b/>
          <w:bCs/>
          <w:sz w:val="24"/>
          <w:szCs w:val="24"/>
          <w:rtl/>
        </w:rPr>
        <w:t>"נעתר למבוקש. התיק ייסגר. הדיון מבוטל".</w:t>
      </w:r>
    </w:p>
    <w:p w:rsidR="004319AA" w:rsidRDefault="004319AA" w:rsidP="00850196">
      <w:pPr>
        <w:pStyle w:val="ad"/>
        <w:spacing w:line="360" w:lineRule="auto"/>
        <w:ind w:left="357"/>
        <w:jc w:val="both"/>
        <w:rPr>
          <w:rFonts w:ascii="David" w:hAnsi="David" w:cs="David"/>
          <w:b/>
          <w:bCs/>
          <w:sz w:val="24"/>
          <w:szCs w:val="24"/>
          <w:rtl/>
        </w:rPr>
      </w:pPr>
      <w:r>
        <w:rPr>
          <w:rFonts w:ascii="David" w:hAnsi="David" w:cs="David"/>
          <w:b/>
          <w:bCs/>
          <w:sz w:val="24"/>
          <w:szCs w:val="24"/>
          <w:rtl/>
        </w:rPr>
        <w:t>(כתב התביעה, כתב ההגנה, הבקשות, ההחלט</w:t>
      </w:r>
      <w:r w:rsidR="00850196">
        <w:rPr>
          <w:rFonts w:ascii="David" w:hAnsi="David" w:cs="David" w:hint="cs"/>
          <w:b/>
          <w:bCs/>
          <w:sz w:val="24"/>
          <w:szCs w:val="24"/>
          <w:rtl/>
        </w:rPr>
        <w:t>ות</w:t>
      </w:r>
      <w:r>
        <w:rPr>
          <w:rFonts w:ascii="David" w:hAnsi="David" w:cs="David"/>
          <w:b/>
          <w:bCs/>
          <w:sz w:val="24"/>
          <w:szCs w:val="24"/>
          <w:rtl/>
        </w:rPr>
        <w:t xml:space="preserve"> שניתנו בבית הדין הרבני מצורפים כנספחים לכתב ההגנה שהגיש הנתבע).</w:t>
      </w:r>
    </w:p>
    <w:p w:rsidR="004319AA" w:rsidRDefault="004319AA" w:rsidP="004319AA">
      <w:pPr>
        <w:pStyle w:val="ad"/>
        <w:spacing w:line="240" w:lineRule="auto"/>
        <w:ind w:left="360"/>
        <w:jc w:val="both"/>
        <w:rPr>
          <w:rFonts w:ascii="David" w:hAnsi="David" w:cs="David"/>
          <w:sz w:val="24"/>
          <w:szCs w:val="24"/>
          <w:rtl/>
        </w:rPr>
      </w:pPr>
    </w:p>
    <w:p w:rsidR="004319AA" w:rsidRDefault="004319AA" w:rsidP="004260C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w:t>
      </w:r>
      <w:r w:rsidR="004260CE">
        <w:rPr>
          <w:rFonts w:ascii="David" w:hAnsi="David" w:cs="David" w:hint="cs"/>
          <w:sz w:val="24"/>
          <w:szCs w:val="24"/>
          <w:rtl/>
        </w:rPr>
        <w:t>****</w:t>
      </w:r>
      <w:r>
        <w:rPr>
          <w:rFonts w:ascii="David" w:hAnsi="David" w:cs="David"/>
          <w:sz w:val="24"/>
          <w:szCs w:val="24"/>
          <w:rtl/>
        </w:rPr>
        <w:t xml:space="preserve"> התקיים דיון בפני במעמד הצדדים. בדיון העלתה ב"כ הנתבע את טענתה המקדמית לדחיית התביעה על הסף מח</w:t>
      </w:r>
      <w:r w:rsidR="00636315">
        <w:rPr>
          <w:rFonts w:ascii="David" w:hAnsi="David" w:cs="David" w:hint="cs"/>
          <w:sz w:val="24"/>
          <w:szCs w:val="24"/>
          <w:rtl/>
        </w:rPr>
        <w:t>מ</w:t>
      </w:r>
      <w:r>
        <w:rPr>
          <w:rFonts w:ascii="David" w:hAnsi="David" w:cs="David"/>
          <w:sz w:val="24"/>
          <w:szCs w:val="24"/>
          <w:rtl/>
        </w:rPr>
        <w:t xml:space="preserve">ת חוסר סמכות עניינית. </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בית המשפט שמע את טענות הצדדים בעניין הסמכות, אף ניסה להביא הצדדים להסכמות גם במחלוקת העיקרית שביניהם, ואולם למרבה הצער לא צלח. </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משכך יש להכריע תחילה בטענה המקדמית לדחייה על הסף.</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בסיום הדיון הגיעו הצדדים להסכמות דיוניות ולפיהן :</w:t>
      </w:r>
    </w:p>
    <w:p w:rsidR="004319AA" w:rsidRDefault="004319AA" w:rsidP="004319AA">
      <w:pPr>
        <w:pStyle w:val="ad"/>
        <w:spacing w:line="360" w:lineRule="auto"/>
        <w:ind w:left="360"/>
        <w:jc w:val="both"/>
        <w:rPr>
          <w:rFonts w:ascii="David" w:hAnsi="David" w:cs="David"/>
          <w:sz w:val="24"/>
          <w:szCs w:val="24"/>
        </w:rPr>
      </w:pPr>
      <w:r>
        <w:rPr>
          <w:rFonts w:ascii="David" w:hAnsi="David" w:cs="David"/>
          <w:b/>
          <w:bCs/>
          <w:sz w:val="24"/>
          <w:szCs w:val="24"/>
          <w:rtl/>
        </w:rPr>
        <w:t>-</w:t>
      </w:r>
      <w:r>
        <w:rPr>
          <w:rFonts w:ascii="David" w:hAnsi="David" w:cs="David"/>
          <w:sz w:val="24"/>
          <w:szCs w:val="24"/>
          <w:rtl/>
        </w:rPr>
        <w:t>הסמכות העניינית בתביעה לאכיפת הסכם שאושר בבית הדין הרבני היא מקבילה.</w:t>
      </w:r>
      <w:r>
        <w:rPr>
          <w:rFonts w:ascii="David" w:hAnsi="David" w:cs="David"/>
          <w:sz w:val="24"/>
          <w:szCs w:val="24"/>
          <w:rtl/>
        </w:rPr>
        <w:br/>
      </w:r>
      <w:r>
        <w:rPr>
          <w:rFonts w:ascii="David" w:hAnsi="David" w:cs="David"/>
          <w:b/>
          <w:bCs/>
          <w:sz w:val="24"/>
          <w:szCs w:val="24"/>
          <w:rtl/>
        </w:rPr>
        <w:t>-</w:t>
      </w:r>
      <w:r>
        <w:rPr>
          <w:rFonts w:ascii="David" w:hAnsi="David" w:cs="David"/>
          <w:sz w:val="24"/>
          <w:szCs w:val="24"/>
          <w:rtl/>
        </w:rPr>
        <w:t>אין בין הצדדים הסכמה כי במקרה ספציפי זה ובנסיבותיו – הסמכות העניינית היא לבית המשפט – כאשר לטענת הנתבע הסמכות הינה לבית הדין ולטענת התובעת  - הסמכות הינה לבית המשפט.</w:t>
      </w:r>
    </w:p>
    <w:p w:rsidR="004319AA" w:rsidRDefault="004319AA" w:rsidP="00D857DF">
      <w:pPr>
        <w:pStyle w:val="ad"/>
        <w:spacing w:line="360" w:lineRule="auto"/>
        <w:ind w:left="360"/>
        <w:jc w:val="both"/>
        <w:rPr>
          <w:rFonts w:ascii="David" w:hAnsi="David" w:cs="David"/>
          <w:b/>
          <w:bCs/>
          <w:sz w:val="24"/>
          <w:szCs w:val="24"/>
          <w:rtl/>
        </w:rPr>
      </w:pPr>
      <w:r>
        <w:rPr>
          <w:rFonts w:ascii="David" w:hAnsi="David" w:cs="David"/>
          <w:b/>
          <w:bCs/>
          <w:sz w:val="24"/>
          <w:szCs w:val="24"/>
          <w:rtl/>
        </w:rPr>
        <w:lastRenderedPageBreak/>
        <w:t>-</w:t>
      </w:r>
      <w:r>
        <w:rPr>
          <w:rFonts w:ascii="David" w:hAnsi="David" w:cs="David"/>
          <w:sz w:val="24"/>
          <w:szCs w:val="24"/>
          <w:rtl/>
        </w:rPr>
        <w:t>הצדדים בקשו לסכם במחלוקת שביניהם ובשאלה האם הת</w:t>
      </w:r>
      <w:r w:rsidR="00850196">
        <w:rPr>
          <w:rFonts w:ascii="David" w:hAnsi="David" w:cs="David"/>
          <w:sz w:val="24"/>
          <w:szCs w:val="24"/>
          <w:rtl/>
        </w:rPr>
        <w:t xml:space="preserve">נהלותה של התובעת אינה בתום לב </w:t>
      </w:r>
      <w:r>
        <w:rPr>
          <w:rFonts w:ascii="David" w:hAnsi="David" w:cs="David"/>
          <w:sz w:val="24"/>
          <w:szCs w:val="24"/>
          <w:rtl/>
        </w:rPr>
        <w:t xml:space="preserve">כטענת הנתבע, או התנהלותה הינה של אדם "הדיוט", כפי שטען ב"כ התובעת </w:t>
      </w:r>
      <w:r>
        <w:rPr>
          <w:rFonts w:ascii="David" w:hAnsi="David" w:cs="David"/>
          <w:b/>
          <w:bCs/>
          <w:sz w:val="24"/>
          <w:szCs w:val="24"/>
          <w:rtl/>
        </w:rPr>
        <w:t>(ראה: עמ' 4 לפרוטוקול הדיון מיום</w:t>
      </w:r>
      <w:r w:rsidRPr="00930FB2">
        <w:rPr>
          <w:rFonts w:ascii="David" w:hAnsi="David" w:cs="David"/>
          <w:b/>
          <w:bCs/>
          <w:sz w:val="24"/>
          <w:szCs w:val="24"/>
          <w:rtl/>
        </w:rPr>
        <w:t xml:space="preserve"> </w:t>
      </w:r>
      <w:r w:rsidR="00D857DF" w:rsidRPr="00930FB2">
        <w:rPr>
          <w:rFonts w:ascii="David" w:hAnsi="David" w:cs="David" w:hint="cs"/>
          <w:b/>
          <w:bCs/>
          <w:sz w:val="24"/>
          <w:szCs w:val="24"/>
          <w:rtl/>
        </w:rPr>
        <w:t>****</w:t>
      </w:r>
      <w:r w:rsidRPr="00930FB2">
        <w:rPr>
          <w:rFonts w:ascii="David" w:hAnsi="David" w:cs="David"/>
          <w:b/>
          <w:bCs/>
          <w:sz w:val="24"/>
          <w:szCs w:val="24"/>
          <w:rtl/>
        </w:rPr>
        <w:t xml:space="preserve"> </w:t>
      </w:r>
      <w:r>
        <w:rPr>
          <w:rFonts w:ascii="David" w:hAnsi="David" w:cs="David"/>
          <w:b/>
          <w:bCs/>
          <w:sz w:val="24"/>
          <w:szCs w:val="24"/>
          <w:rtl/>
        </w:rPr>
        <w:t xml:space="preserve">שורות 21-26).  </w:t>
      </w:r>
    </w:p>
    <w:p w:rsidR="004319AA" w:rsidRDefault="004319AA" w:rsidP="004319AA">
      <w:pPr>
        <w:spacing w:line="360" w:lineRule="auto"/>
        <w:jc w:val="both"/>
        <w:rPr>
          <w:rFonts w:ascii="David" w:hAnsi="David"/>
          <w:b/>
          <w:bCs/>
          <w:u w:val="single"/>
          <w:rtl/>
        </w:rPr>
      </w:pPr>
      <w:r>
        <w:rPr>
          <w:rFonts w:ascii="David" w:hAnsi="David"/>
          <w:b/>
          <w:bCs/>
          <w:u w:val="single"/>
          <w:rtl/>
        </w:rPr>
        <w:t>טענות התובעת:</w:t>
      </w:r>
    </w:p>
    <w:p w:rsidR="004319AA" w:rsidRDefault="004319AA" w:rsidP="004319AA">
      <w:pPr>
        <w:pStyle w:val="ad"/>
        <w:numPr>
          <w:ilvl w:val="0"/>
          <w:numId w:val="1"/>
        </w:numPr>
        <w:spacing w:after="0" w:line="360" w:lineRule="auto"/>
        <w:jc w:val="both"/>
        <w:rPr>
          <w:rFonts w:ascii="David" w:hAnsi="David" w:cs="David"/>
          <w:sz w:val="24"/>
          <w:szCs w:val="24"/>
          <w:u w:val="single"/>
        </w:rPr>
      </w:pPr>
      <w:r>
        <w:rPr>
          <w:rFonts w:ascii="David" w:hAnsi="David" w:cs="David"/>
          <w:sz w:val="24"/>
          <w:szCs w:val="24"/>
          <w:rtl/>
        </w:rPr>
        <w:t>לטענת התובעת אכן פנתה בבקשה לאכיפת הסכם לבית הדין הרבני האזורי,  אולם עשתה זאת בעצמה,  לא התייעצה עם עו"ד והמדובר בבעל דין בחזקת  "הדיוט" שאינו יודע את הדין.</w:t>
      </w:r>
    </w:p>
    <w:p w:rsidR="004319AA" w:rsidRDefault="004319AA" w:rsidP="004319AA">
      <w:pPr>
        <w:pStyle w:val="ad"/>
        <w:spacing w:line="360" w:lineRule="auto"/>
        <w:ind w:left="360"/>
        <w:jc w:val="both"/>
        <w:rPr>
          <w:rFonts w:ascii="David" w:hAnsi="David" w:cs="David"/>
          <w:sz w:val="24"/>
          <w:szCs w:val="24"/>
          <w:u w:val="single"/>
        </w:rPr>
      </w:pPr>
      <w:r>
        <w:rPr>
          <w:rFonts w:ascii="David" w:hAnsi="David" w:cs="David"/>
          <w:sz w:val="24"/>
          <w:szCs w:val="24"/>
          <w:rtl/>
        </w:rPr>
        <w:t>עוד טוענת התובעת, כי פנתה לבית הדין הרבני מאחר והנתבע אינו מקיים את  זמני השהות עם הקטינים. באותה תביעה  ציינה כי בנוסף לאי עמידה של הנתבע  בזמני השהות אינו ממלא אף את  התחייבויותיו לפי סעיף 32 להסכם, תוך שביקשה לקבוע דיון דחוף בבקשה.</w:t>
      </w:r>
    </w:p>
    <w:p w:rsidR="004319AA" w:rsidRDefault="004319AA" w:rsidP="004319AA">
      <w:pPr>
        <w:pStyle w:val="ad"/>
        <w:spacing w:line="240" w:lineRule="auto"/>
        <w:ind w:left="360"/>
        <w:jc w:val="both"/>
        <w:rPr>
          <w:rFonts w:ascii="David" w:hAnsi="David" w:cs="David"/>
          <w:sz w:val="24"/>
          <w:szCs w:val="24"/>
          <w:u w:val="single"/>
          <w:rtl/>
        </w:rPr>
      </w:pPr>
    </w:p>
    <w:p w:rsidR="004319AA" w:rsidRDefault="004319AA" w:rsidP="004319AA">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מאחר ולא ניתנה החלטה אופרטיבית בבקשתה פנתה, כך לטענתה, לייעוץ משפטי וב"כ המליץ לה לסגור את התיק ולפנות בדרך של תביעה לאכיפה לבית משפט זה, וכך עשתה.</w:t>
      </w:r>
    </w:p>
    <w:p w:rsidR="004319AA" w:rsidRDefault="004319AA" w:rsidP="004319AA">
      <w:pPr>
        <w:pStyle w:val="ad"/>
        <w:spacing w:line="240" w:lineRule="auto"/>
        <w:ind w:left="360"/>
        <w:jc w:val="both"/>
        <w:rPr>
          <w:rFonts w:ascii="David" w:hAnsi="David" w:cs="David"/>
          <w:sz w:val="24"/>
          <w:szCs w:val="24"/>
          <w:u w:val="single"/>
        </w:rPr>
      </w:pPr>
    </w:p>
    <w:p w:rsidR="004319AA" w:rsidRDefault="004319AA" w:rsidP="004319AA">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 xml:space="preserve">לטענת התובעת, בית הדין הרבני נתן תוקף של פסק דין להסכמות הצדדים ללא שירד לתוכנו של ההסכם, משכך לא יוכל להמשיך לשמש בסיס להכרה בסמכותו הנמשכת. </w:t>
      </w:r>
    </w:p>
    <w:p w:rsidR="004319AA" w:rsidRDefault="004319AA" w:rsidP="004319AA">
      <w:pPr>
        <w:pStyle w:val="ad"/>
        <w:spacing w:line="240" w:lineRule="auto"/>
        <w:ind w:left="360"/>
        <w:jc w:val="both"/>
        <w:rPr>
          <w:rFonts w:ascii="David" w:hAnsi="David" w:cs="David"/>
          <w:sz w:val="24"/>
          <w:szCs w:val="24"/>
          <w:u w:val="single"/>
        </w:rPr>
      </w:pPr>
    </w:p>
    <w:p w:rsidR="004319AA" w:rsidRDefault="004319AA" w:rsidP="004319AA">
      <w:pPr>
        <w:pStyle w:val="ad"/>
        <w:numPr>
          <w:ilvl w:val="0"/>
          <w:numId w:val="1"/>
        </w:numPr>
        <w:spacing w:line="360" w:lineRule="auto"/>
        <w:jc w:val="both"/>
        <w:rPr>
          <w:rFonts w:ascii="David" w:hAnsi="David" w:cs="David"/>
          <w:sz w:val="24"/>
          <w:szCs w:val="24"/>
          <w:u w:val="single"/>
        </w:rPr>
      </w:pPr>
      <w:r>
        <w:rPr>
          <w:rFonts w:ascii="David" w:hAnsi="David" w:cs="David"/>
          <w:sz w:val="24"/>
          <w:szCs w:val="24"/>
          <w:rtl/>
        </w:rPr>
        <w:t>לאחר הייעוץ המשפטי שקבלה ולאחר שבית הדין הרבני אישר את בקשתה לסגירת התיק והנתבע לא ערער על החלטה זו, הרי שהתיק בבית הדין הרבני סגור, והתובעת רשאית להגיש בקשתה בבית משפט זה.</w:t>
      </w:r>
    </w:p>
    <w:p w:rsidR="004319AA" w:rsidRDefault="004319AA" w:rsidP="004319AA">
      <w:pPr>
        <w:spacing w:line="360" w:lineRule="auto"/>
        <w:jc w:val="both"/>
        <w:rPr>
          <w:rFonts w:ascii="David" w:hAnsi="David"/>
          <w:b/>
          <w:bCs/>
          <w:u w:val="single"/>
          <w:rtl/>
        </w:rPr>
      </w:pPr>
      <w:r>
        <w:rPr>
          <w:rFonts w:ascii="David" w:hAnsi="David"/>
          <w:b/>
          <w:bCs/>
          <w:u w:val="single"/>
          <w:rtl/>
        </w:rPr>
        <w:t>טענות הנתבע:</w:t>
      </w:r>
    </w:p>
    <w:p w:rsidR="004319AA" w:rsidRDefault="004319AA" w:rsidP="004260C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הנתבע  התובעת הגישה תביעה לאכיפת סע' 32 להסכם לבית הדין הרבני  ביום </w:t>
      </w:r>
      <w:r w:rsidR="004260CE">
        <w:rPr>
          <w:rFonts w:ascii="David" w:hAnsi="David" w:cs="David" w:hint="cs"/>
          <w:sz w:val="24"/>
          <w:szCs w:val="24"/>
          <w:rtl/>
        </w:rPr>
        <w:t xml:space="preserve"> ***</w:t>
      </w:r>
      <w:r>
        <w:rPr>
          <w:rFonts w:ascii="David" w:hAnsi="David" w:cs="David"/>
          <w:sz w:val="24"/>
          <w:szCs w:val="24"/>
          <w:rtl/>
        </w:rPr>
        <w:t xml:space="preserve">.  לאחר קבלת ייצוג פנתה בשנית לבית הדין הרבני ביום </w:t>
      </w:r>
      <w:r w:rsidR="004260CE">
        <w:rPr>
          <w:rFonts w:ascii="David" w:hAnsi="David" w:cs="David" w:hint="cs"/>
          <w:sz w:val="24"/>
          <w:szCs w:val="24"/>
          <w:rtl/>
        </w:rPr>
        <w:t>***</w:t>
      </w:r>
      <w:r>
        <w:rPr>
          <w:rFonts w:ascii="David" w:hAnsi="David" w:cs="David"/>
          <w:sz w:val="24"/>
          <w:szCs w:val="24"/>
          <w:rtl/>
        </w:rPr>
        <w:t xml:space="preserve"> לקביעת מועד דיון דחוף. משכך לטענתו בחרה להעניק הסמכות העניינית לבית הדין הרבני והמשיכה לתת לו את סמכותו גם לאחר הסדרת ייצוגה. לטענת הנתבע, אף הוא הסכים לסמכות בית הדין הרבני והגיש כתב הגנה כך שלמעשה שני הצדדים הביעו הסכמתם שבית הדין הוא שידון בעניין אכיפת ההסכם מכוח סעיף 9 לחוק חוק שיפוט בתי דין רבניים (נישואין וגירושין), תשי"ג-1953, ואין התובעת רשאית לחזור בה מהסכמתה כעת.</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לטענתו, סגירת התיק בבית הדין הרבני לבקשתה של התובעת היה טכני בלבד, שאינה מפקיעה את סמכותו של בית הדין לשוב ולדון בנושא אכיפת ההסכם. המדובר במעין הקפאה של התיק באופן שסמכות בית הדין נמשכת.</w:t>
      </w:r>
    </w:p>
    <w:p w:rsidR="004319AA" w:rsidRDefault="004319AA" w:rsidP="004319AA">
      <w:pPr>
        <w:pStyle w:val="ad"/>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עוד טוען הנתבע, כי התובעת סגרה את התיק בבית הדין הרבני רק משום שהוא ביקש לדחות את הדיון לאכיפת ההסכם והדיון נדחה בחודשיים, והגישה התביעה לבית המשפט הנכבד באותן טענות משפטיות.</w:t>
      </w:r>
    </w:p>
    <w:p w:rsidR="004319AA" w:rsidRDefault="004319AA" w:rsidP="004319AA">
      <w:pPr>
        <w:pStyle w:val="ad"/>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הנתבע בסיכומיו התנהלותה של התובעת נגועה בחוסר תום לב ופוגעת בעיקרון הכבוד ההדדי שבין הערכאות המהווה נר לרגלי הערכאות המשפטיות ואמור למנוע מעבר בעלי דין בין הערכאות.</w:t>
      </w:r>
    </w:p>
    <w:p w:rsidR="004319AA" w:rsidRDefault="004319AA" w:rsidP="004319AA">
      <w:pPr>
        <w:pStyle w:val="ad"/>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הנתבע בסיכומיו, לבית הדין הרבני ולבית המשפט ישנה סמכות מקבילה לדון בתביעה לאכיפת ההסכם אולם התובעת בחרה להעניק את הסמכות העניינית לבית הדין והיא המשיכה להעניק לו את סמכותו גם לאחר הסדרת ייצוגה. </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 xml:space="preserve">עוד טוען הנתבע, כי מהתנהגות הצדדים עולה הסכמתם לדון בתביעה לאכיפת ההסכם והתובעת מושתקת מלטעון כי לבית הדין אין סמכות עניינית.        </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מהטעמים לעיל</w:t>
      </w:r>
      <w:r w:rsidR="006B0A84">
        <w:rPr>
          <w:rFonts w:ascii="David" w:hAnsi="David" w:cs="David" w:hint="cs"/>
          <w:sz w:val="24"/>
          <w:szCs w:val="24"/>
          <w:rtl/>
        </w:rPr>
        <w:t>,</w:t>
      </w:r>
      <w:r w:rsidR="006B0A84">
        <w:rPr>
          <w:rFonts w:ascii="David" w:hAnsi="David" w:cs="David"/>
          <w:sz w:val="24"/>
          <w:szCs w:val="24"/>
          <w:rtl/>
        </w:rPr>
        <w:t xml:space="preserve"> </w:t>
      </w:r>
      <w:r>
        <w:rPr>
          <w:rFonts w:ascii="David" w:hAnsi="David" w:cs="David"/>
          <w:sz w:val="24"/>
          <w:szCs w:val="24"/>
          <w:rtl/>
        </w:rPr>
        <w:t>מבקש הנתבע כי בית המשפט ידחה על הסף את התביעה בשל חוסר סמכות עניינית. כן עותר לקבוע כי הסמכות העניינית לדון בתביעה מסורה לבית הדין הרבני.</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 xml:space="preserve">לטענת הנתבע, התנהגות הנתבעת גרמה לו להוצאת כספים לייצוג הן בבית הדין הרבני, והן בבית המשפט. לפיכך יש לחייב את התובעת בהוצאות מהותיות שלא יפחתו מסך 20,000 ₪.  </w:t>
      </w:r>
    </w:p>
    <w:p w:rsidR="004319AA" w:rsidRDefault="004319AA" w:rsidP="004319AA">
      <w:pPr>
        <w:spacing w:line="360" w:lineRule="auto"/>
        <w:jc w:val="both"/>
        <w:rPr>
          <w:rFonts w:ascii="David" w:hAnsi="David"/>
          <w:b/>
          <w:bCs/>
          <w:u w:val="single"/>
        </w:rPr>
      </w:pPr>
      <w:r>
        <w:rPr>
          <w:rFonts w:ascii="David" w:hAnsi="David"/>
          <w:b/>
          <w:bCs/>
          <w:u w:val="single"/>
          <w:rtl/>
        </w:rPr>
        <w:t>דיון:</w:t>
      </w: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המדובר באכיפת הסכם הגירושין ו/או בפרשנותו , שאז יכול גם בית משפט לענייני משפחה לדון בתביעה ובית הדין הרבני לא רכש סמכות בלעדית:</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שאלת פרשנות אינה מסורה דווקא לשיפוטו של בית-הדין שנתן להסכם תוקף של פסק-דין. ראו ע"א 336/68 מ' </w:t>
      </w:r>
      <w:proofErr w:type="spellStart"/>
      <w:r>
        <w:rPr>
          <w:rFonts w:ascii="David" w:hAnsi="David" w:cs="David"/>
          <w:b/>
          <w:bCs/>
          <w:sz w:val="24"/>
          <w:szCs w:val="24"/>
          <w:rtl/>
        </w:rPr>
        <w:t>לויץ</w:t>
      </w:r>
      <w:proofErr w:type="spellEnd"/>
      <w:r>
        <w:rPr>
          <w:rFonts w:ascii="David" w:hAnsi="David" w:cs="David"/>
          <w:b/>
          <w:bCs/>
          <w:sz w:val="24"/>
          <w:szCs w:val="24"/>
          <w:rtl/>
        </w:rPr>
        <w:t xml:space="preserve"> נ' י' </w:t>
      </w:r>
      <w:proofErr w:type="spellStart"/>
      <w:r>
        <w:rPr>
          <w:rFonts w:ascii="David" w:hAnsi="David" w:cs="David"/>
          <w:b/>
          <w:bCs/>
          <w:sz w:val="24"/>
          <w:szCs w:val="24"/>
          <w:rtl/>
        </w:rPr>
        <w:t>לויץ</w:t>
      </w:r>
      <w:proofErr w:type="spellEnd"/>
      <w:r>
        <w:rPr>
          <w:rFonts w:ascii="David" w:hAnsi="David" w:cs="David"/>
          <w:b/>
          <w:bCs/>
          <w:sz w:val="24"/>
          <w:szCs w:val="24"/>
          <w:rtl/>
        </w:rPr>
        <w:t xml:space="preserve"> [19], בעמ' 951. ראו עוד דעת הרוב בע"א 164/71 צ' צפניה נ' י' צפניה [20]. אכן, כלל הסמכות הנמשכת חל על תביעה לשינוי או לתיקון הסכם גירושין שאושר כפסק-דין, אך אין הוא חל על תביעה לפרשנות ההסכם או לאכיפתו</w:t>
      </w:r>
      <w:r>
        <w:rPr>
          <w:rFonts w:ascii="David" w:hAnsi="David" w:cs="David"/>
          <w:sz w:val="24"/>
          <w:szCs w:val="24"/>
          <w:rtl/>
        </w:rPr>
        <w:t>".</w:t>
      </w: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t xml:space="preserve">(ראה: ע"א 3868/95 </w:t>
      </w:r>
      <w:r>
        <w:rPr>
          <w:rFonts w:ascii="David" w:hAnsi="David" w:cs="David"/>
          <w:b/>
          <w:bCs/>
          <w:sz w:val="24"/>
          <w:szCs w:val="24"/>
          <w:rtl/>
        </w:rPr>
        <w:t xml:space="preserve">ונדה </w:t>
      </w:r>
      <w:proofErr w:type="spellStart"/>
      <w:r>
        <w:rPr>
          <w:rFonts w:ascii="David" w:hAnsi="David" w:cs="David"/>
          <w:b/>
          <w:bCs/>
          <w:sz w:val="24"/>
          <w:szCs w:val="24"/>
          <w:rtl/>
        </w:rPr>
        <w:t>ורבר</w:t>
      </w:r>
      <w:proofErr w:type="spellEnd"/>
      <w:r>
        <w:rPr>
          <w:rFonts w:ascii="David" w:hAnsi="David" w:cs="David"/>
          <w:b/>
          <w:bCs/>
          <w:sz w:val="24"/>
          <w:szCs w:val="24"/>
          <w:rtl/>
        </w:rPr>
        <w:t xml:space="preserve"> נ' מנחם </w:t>
      </w:r>
      <w:proofErr w:type="spellStart"/>
      <w:r>
        <w:rPr>
          <w:rFonts w:ascii="David" w:hAnsi="David" w:cs="David"/>
          <w:b/>
          <w:bCs/>
          <w:sz w:val="24"/>
          <w:szCs w:val="24"/>
          <w:rtl/>
        </w:rPr>
        <w:t>ורבר</w:t>
      </w:r>
      <w:proofErr w:type="spellEnd"/>
      <w:r>
        <w:rPr>
          <w:rFonts w:ascii="David" w:hAnsi="David" w:cs="David"/>
          <w:b/>
          <w:bCs/>
          <w:sz w:val="24"/>
          <w:szCs w:val="24"/>
          <w:rtl/>
        </w:rPr>
        <w:t>,</w:t>
      </w:r>
      <w:r>
        <w:rPr>
          <w:rFonts w:ascii="David" w:hAnsi="David" w:cs="David"/>
          <w:sz w:val="24"/>
          <w:szCs w:val="24"/>
          <w:rtl/>
        </w:rPr>
        <w:t xml:space="preserve"> פ"ד נב(5) 817, 837 (1998).</w:t>
      </w:r>
    </w:p>
    <w:p w:rsidR="004319AA" w:rsidRDefault="004319AA" w:rsidP="006B0A84">
      <w:pPr>
        <w:pStyle w:val="ad"/>
        <w:spacing w:line="240" w:lineRule="auto"/>
        <w:ind w:left="360"/>
        <w:jc w:val="both"/>
        <w:rPr>
          <w:rFonts w:ascii="David" w:hAnsi="David" w:cs="David"/>
          <w:sz w:val="24"/>
          <w:szCs w:val="24"/>
          <w:rtl/>
        </w:rPr>
      </w:pP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על-פי ההלכה שנקבעה בפסיקתו של בית-משפט זה, ערכאה שאישרה הסכם ממוני בין בני-זוג כפסק-דין אינה רוכשת סמכות נמשכת בנוגע לפרשנות ההסכם או אכיפתו (להבדיל מתביעה לתיקון, לשינוי או לביטול הסכם ממוני שאושר כפסק-דין, אשר ככלל תוגש לערכאה שאישרה את ההסכם. ראו: ע"א 164/71 צפניה נ' צפניה [6], דעתם של השופטים ח' כהן </w:t>
      </w:r>
      <w:proofErr w:type="spellStart"/>
      <w:r>
        <w:rPr>
          <w:rFonts w:ascii="David" w:hAnsi="David" w:cs="David"/>
          <w:b/>
          <w:bCs/>
          <w:sz w:val="24"/>
          <w:szCs w:val="24"/>
          <w:rtl/>
        </w:rPr>
        <w:t>וויתקון</w:t>
      </w:r>
      <w:proofErr w:type="spellEnd"/>
      <w:r>
        <w:rPr>
          <w:rFonts w:ascii="David" w:hAnsi="David" w:cs="David"/>
          <w:b/>
          <w:bCs/>
          <w:sz w:val="24"/>
          <w:szCs w:val="24"/>
          <w:rtl/>
        </w:rPr>
        <w:t xml:space="preserve"> אל מול דעתו החולקת של השופט </w:t>
      </w:r>
      <w:proofErr w:type="spellStart"/>
      <w:r>
        <w:rPr>
          <w:rFonts w:ascii="David" w:hAnsi="David" w:cs="David"/>
          <w:b/>
          <w:bCs/>
          <w:sz w:val="24"/>
          <w:szCs w:val="24"/>
          <w:rtl/>
        </w:rPr>
        <w:t>לנדוי</w:t>
      </w:r>
      <w:proofErr w:type="spellEnd"/>
      <w:r>
        <w:rPr>
          <w:rFonts w:ascii="David" w:hAnsi="David" w:cs="David"/>
          <w:b/>
          <w:bCs/>
          <w:sz w:val="24"/>
          <w:szCs w:val="24"/>
          <w:rtl/>
        </w:rPr>
        <w:t xml:space="preserve">; ע"א 394/88 מאייר נ' (ברמן) מאייר [7], בעמ' 475-474; ע"א 3203/91 אזולאי נ' אזולאי [8], </w:t>
      </w:r>
      <w:proofErr w:type="spellStart"/>
      <w:r>
        <w:rPr>
          <w:rFonts w:ascii="David" w:hAnsi="David" w:cs="David"/>
          <w:b/>
          <w:bCs/>
          <w:sz w:val="24"/>
          <w:szCs w:val="24"/>
          <w:rtl/>
        </w:rPr>
        <w:t>בפיסקה</w:t>
      </w:r>
      <w:proofErr w:type="spellEnd"/>
      <w:r>
        <w:rPr>
          <w:rFonts w:ascii="David" w:hAnsi="David" w:cs="David"/>
          <w:b/>
          <w:bCs/>
          <w:sz w:val="24"/>
          <w:szCs w:val="24"/>
          <w:rtl/>
        </w:rPr>
        <w:t xml:space="preserve"> 4 לפסק-הדין; בג"ץ 6103/93 הנ"ל [5], בעמ' 613-612; </w:t>
      </w:r>
      <w:r>
        <w:rPr>
          <w:rFonts w:ascii="David" w:hAnsi="David" w:cs="David"/>
          <w:b/>
          <w:bCs/>
          <w:sz w:val="24"/>
          <w:szCs w:val="24"/>
          <w:rtl/>
        </w:rPr>
        <w:lastRenderedPageBreak/>
        <w:t xml:space="preserve">ע"א 3868/95 </w:t>
      </w:r>
      <w:proofErr w:type="spellStart"/>
      <w:r>
        <w:rPr>
          <w:rFonts w:ascii="David" w:hAnsi="David" w:cs="David"/>
          <w:b/>
          <w:bCs/>
          <w:sz w:val="24"/>
          <w:szCs w:val="24"/>
          <w:rtl/>
        </w:rPr>
        <w:t>ורבר</w:t>
      </w:r>
      <w:proofErr w:type="spellEnd"/>
      <w:r>
        <w:rPr>
          <w:rFonts w:ascii="David" w:hAnsi="David" w:cs="David"/>
          <w:b/>
          <w:bCs/>
          <w:sz w:val="24"/>
          <w:szCs w:val="24"/>
          <w:rtl/>
        </w:rPr>
        <w:t xml:space="preserve"> נ' </w:t>
      </w:r>
      <w:proofErr w:type="spellStart"/>
      <w:r>
        <w:rPr>
          <w:rFonts w:ascii="David" w:hAnsi="David" w:cs="David"/>
          <w:b/>
          <w:bCs/>
          <w:sz w:val="24"/>
          <w:szCs w:val="24"/>
          <w:rtl/>
        </w:rPr>
        <w:t>ורבר</w:t>
      </w:r>
      <w:proofErr w:type="spellEnd"/>
      <w:r>
        <w:rPr>
          <w:rFonts w:ascii="David" w:hAnsi="David" w:cs="David"/>
          <w:b/>
          <w:bCs/>
          <w:sz w:val="24"/>
          <w:szCs w:val="24"/>
          <w:rtl/>
        </w:rPr>
        <w:t xml:space="preserve"> [9], בעמ' 839-838; ע"א 3695/96 </w:t>
      </w:r>
      <w:proofErr w:type="spellStart"/>
      <w:r>
        <w:rPr>
          <w:rFonts w:ascii="David" w:hAnsi="David" w:cs="David"/>
          <w:b/>
          <w:bCs/>
          <w:sz w:val="24"/>
          <w:szCs w:val="24"/>
          <w:rtl/>
        </w:rPr>
        <w:t>צייטלין</w:t>
      </w:r>
      <w:proofErr w:type="spellEnd"/>
      <w:r>
        <w:rPr>
          <w:rFonts w:ascii="David" w:hAnsi="David" w:cs="David"/>
          <w:b/>
          <w:bCs/>
          <w:sz w:val="24"/>
          <w:szCs w:val="24"/>
          <w:rtl/>
        </w:rPr>
        <w:t xml:space="preserve"> נ' </w:t>
      </w:r>
      <w:proofErr w:type="spellStart"/>
      <w:r>
        <w:rPr>
          <w:rFonts w:ascii="David" w:hAnsi="David" w:cs="David"/>
          <w:b/>
          <w:bCs/>
          <w:sz w:val="24"/>
          <w:szCs w:val="24"/>
          <w:rtl/>
        </w:rPr>
        <w:t>טשינגל</w:t>
      </w:r>
      <w:proofErr w:type="spellEnd"/>
      <w:r>
        <w:rPr>
          <w:rFonts w:ascii="David" w:hAnsi="David" w:cs="David"/>
          <w:b/>
          <w:bCs/>
          <w:sz w:val="24"/>
          <w:szCs w:val="24"/>
          <w:rtl/>
        </w:rPr>
        <w:t xml:space="preserve"> [10]; א' רוזן-צבי דיני המשפחה בישראל – בין קודש לחול [11], בעמ' 378)</w:t>
      </w:r>
      <w:r>
        <w:rPr>
          <w:rFonts w:ascii="David" w:hAnsi="David" w:cs="David"/>
          <w:sz w:val="24"/>
          <w:szCs w:val="24"/>
          <w:rtl/>
        </w:rPr>
        <w:t xml:space="preserve">" (ראה: בגץ 8578/01 </w:t>
      </w:r>
      <w:r>
        <w:rPr>
          <w:rFonts w:ascii="David" w:hAnsi="David" w:cs="David"/>
          <w:b/>
          <w:bCs/>
          <w:sz w:val="24"/>
          <w:szCs w:val="24"/>
          <w:rtl/>
        </w:rPr>
        <w:t xml:space="preserve">חיים </w:t>
      </w:r>
      <w:proofErr w:type="spellStart"/>
      <w:r>
        <w:rPr>
          <w:rFonts w:ascii="David" w:hAnsi="David" w:cs="David"/>
          <w:b/>
          <w:bCs/>
          <w:sz w:val="24"/>
          <w:szCs w:val="24"/>
          <w:rtl/>
        </w:rPr>
        <w:t>חליווה</w:t>
      </w:r>
      <w:proofErr w:type="spellEnd"/>
      <w:r>
        <w:rPr>
          <w:rFonts w:ascii="David" w:hAnsi="David" w:cs="David"/>
          <w:b/>
          <w:bCs/>
          <w:sz w:val="24"/>
          <w:szCs w:val="24"/>
          <w:rtl/>
        </w:rPr>
        <w:t xml:space="preserve"> נ' עליזה </w:t>
      </w:r>
      <w:proofErr w:type="spellStart"/>
      <w:r>
        <w:rPr>
          <w:rFonts w:ascii="David" w:hAnsi="David" w:cs="David"/>
          <w:b/>
          <w:bCs/>
          <w:sz w:val="24"/>
          <w:szCs w:val="24"/>
          <w:rtl/>
        </w:rPr>
        <w:t>חליווה</w:t>
      </w:r>
      <w:proofErr w:type="spellEnd"/>
      <w:r>
        <w:rPr>
          <w:rFonts w:ascii="David" w:hAnsi="David" w:cs="David"/>
          <w:b/>
          <w:bCs/>
          <w:sz w:val="24"/>
          <w:szCs w:val="24"/>
          <w:rtl/>
        </w:rPr>
        <w:t xml:space="preserve">, </w:t>
      </w:r>
      <w:r>
        <w:rPr>
          <w:rFonts w:ascii="David" w:hAnsi="David" w:cs="David"/>
          <w:sz w:val="24"/>
          <w:szCs w:val="24"/>
          <w:rtl/>
        </w:rPr>
        <w:t>פ"ד נו(5) 634, 641 (2002).</w:t>
      </w:r>
    </w:p>
    <w:p w:rsidR="004319AA" w:rsidRDefault="004319AA" w:rsidP="006B0A84">
      <w:pPr>
        <w:pStyle w:val="ad"/>
        <w:spacing w:line="24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לעניין משמעות סגירת התיק:</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בע"א 1</w:t>
      </w:r>
      <w:r>
        <w:rPr>
          <w:rFonts w:ascii="David" w:hAnsi="David" w:cs="David"/>
          <w:b/>
          <w:bCs/>
          <w:sz w:val="24"/>
          <w:szCs w:val="24"/>
          <w:rtl/>
        </w:rPr>
        <w:t xml:space="preserve">35/80 </w:t>
      </w:r>
      <w:proofErr w:type="spellStart"/>
      <w:r>
        <w:rPr>
          <w:rFonts w:ascii="David" w:hAnsi="David" w:cs="David"/>
          <w:b/>
          <w:bCs/>
          <w:sz w:val="24"/>
          <w:szCs w:val="24"/>
          <w:rtl/>
        </w:rPr>
        <w:t>נגיט</w:t>
      </w:r>
      <w:proofErr w:type="spellEnd"/>
      <w:r>
        <w:rPr>
          <w:rFonts w:ascii="David" w:hAnsi="David" w:cs="David"/>
          <w:b/>
          <w:bCs/>
          <w:sz w:val="24"/>
          <w:szCs w:val="24"/>
          <w:rtl/>
        </w:rPr>
        <w:t xml:space="preserve"> בכור נ' לידה בכור,</w:t>
      </w:r>
      <w:r>
        <w:rPr>
          <w:rFonts w:ascii="David" w:hAnsi="David" w:cs="David"/>
          <w:sz w:val="24"/>
          <w:szCs w:val="24"/>
          <w:rtl/>
        </w:rPr>
        <w:t xml:space="preserve"> פ"ד לו (2), 358 (1982) קבע בית המשפט העליון כי:</w:t>
      </w:r>
      <w:r>
        <w:rPr>
          <w:rFonts w:ascii="David" w:hAnsi="David" w:cs="David"/>
          <w:sz w:val="24"/>
          <w:szCs w:val="24"/>
          <w:rtl/>
        </w:rPr>
        <w:br/>
      </w:r>
      <w:r>
        <w:rPr>
          <w:rFonts w:ascii="David" w:hAnsi="David" w:cs="David"/>
          <w:b/>
          <w:bCs/>
          <w:sz w:val="24"/>
          <w:szCs w:val="24"/>
          <w:rtl/>
        </w:rPr>
        <w:t xml:space="preserve">"משסגר בית הדין את התיק, שהיה תלוי ועומד לפניו, בלי לדון לגופו של עניין, חדלה הסמכות הנמשכת, </w:t>
      </w:r>
      <w:proofErr w:type="spellStart"/>
      <w:r>
        <w:rPr>
          <w:rFonts w:ascii="David" w:hAnsi="David" w:cs="David"/>
          <w:b/>
          <w:bCs/>
          <w:sz w:val="24"/>
          <w:szCs w:val="24"/>
          <w:rtl/>
        </w:rPr>
        <w:t>שהיתה</w:t>
      </w:r>
      <w:proofErr w:type="spellEnd"/>
      <w:r>
        <w:rPr>
          <w:rFonts w:ascii="David" w:hAnsi="David" w:cs="David"/>
          <w:b/>
          <w:bCs/>
          <w:sz w:val="24"/>
          <w:szCs w:val="24"/>
          <w:rtl/>
        </w:rPr>
        <w:t xml:space="preserve"> לבית הדין הרבני על יסוד הליכים קודמים...".</w:t>
      </w:r>
    </w:p>
    <w:p w:rsidR="004319AA" w:rsidRDefault="004319AA" w:rsidP="006B0A84">
      <w:pPr>
        <w:pStyle w:val="ad"/>
        <w:spacing w:line="240" w:lineRule="auto"/>
        <w:ind w:left="360"/>
        <w:jc w:val="both"/>
        <w:rPr>
          <w:rFonts w:ascii="David" w:hAnsi="David" w:cs="David"/>
          <w:sz w:val="24"/>
          <w:szCs w:val="24"/>
          <w:rtl/>
        </w:rPr>
      </w:pPr>
    </w:p>
    <w:p w:rsidR="004319AA" w:rsidRDefault="004319AA" w:rsidP="004319AA">
      <w:pPr>
        <w:pStyle w:val="ad"/>
        <w:spacing w:line="360" w:lineRule="auto"/>
        <w:ind w:left="360"/>
        <w:jc w:val="both"/>
        <w:rPr>
          <w:rFonts w:ascii="David" w:hAnsi="David" w:cs="David"/>
          <w:b/>
          <w:bCs/>
          <w:sz w:val="24"/>
          <w:szCs w:val="24"/>
          <w:rtl/>
        </w:rPr>
      </w:pPr>
      <w:proofErr w:type="spellStart"/>
      <w:r>
        <w:rPr>
          <w:rFonts w:ascii="David" w:hAnsi="David" w:cs="David"/>
          <w:sz w:val="24"/>
          <w:szCs w:val="24"/>
          <w:rtl/>
        </w:rPr>
        <w:t>בבר"ע</w:t>
      </w:r>
      <w:proofErr w:type="spellEnd"/>
      <w:r>
        <w:rPr>
          <w:rFonts w:ascii="David" w:hAnsi="David" w:cs="David"/>
          <w:sz w:val="24"/>
          <w:szCs w:val="24"/>
          <w:rtl/>
        </w:rPr>
        <w:t xml:space="preserve"> 302/99 </w:t>
      </w:r>
      <w:r>
        <w:rPr>
          <w:rFonts w:ascii="David" w:hAnsi="David" w:cs="David"/>
          <w:b/>
          <w:bCs/>
          <w:sz w:val="24"/>
          <w:szCs w:val="24"/>
          <w:rtl/>
        </w:rPr>
        <w:t xml:space="preserve">פלוני נ' פלונית </w:t>
      </w:r>
      <w:r>
        <w:rPr>
          <w:rFonts w:ascii="David" w:hAnsi="David" w:cs="David"/>
          <w:sz w:val="24"/>
          <w:szCs w:val="24"/>
          <w:rtl/>
        </w:rPr>
        <w:t>ואח' דן בית המשפט המחוזי בנצרת בסוגיה זו וציין כי</w:t>
      </w:r>
      <w:r>
        <w:rPr>
          <w:rFonts w:ascii="David" w:hAnsi="David" w:cs="David"/>
          <w:b/>
          <w:bCs/>
          <w:sz w:val="24"/>
          <w:szCs w:val="24"/>
          <w:rtl/>
        </w:rPr>
        <w:t>:</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"ככלל, נתפרש המושג "סגירת תיק" בפסיקה בשני כיוונים: הכיוון האחד מצביע על כך שסגירת תיק כמוה כמחיקתו או כדחייתו, בעוד שהכיוון האחר מצביע על כך כי סגירת תיק איננה אלא "הרדמתו" של התיק, וסמכותו של בית-הדין נמשכת אפוא חרף הרדמה זו.</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אעיר כבר עתה כי מקובלת עליי גישתו של פרופ' א' רוזן-צבי המנוח בספרו דיני המשפחה בישראל – בין קודש לחול [19], בעמ' 61, כי ככלל, עצם האפשרות שתיק ייסגר ללא הכרעה בתביעה, דהיינו ללא שזו נדחית, מתבטלת או אף אינה נמחקת, אינה ראויה ואינה רצויה. ובלשונו של פרופ' רוזן-צבי ז"ל:</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"הנצחת סמכות ללא הכרעה שיפוטית היא שימוש בלתי נאות מצד בית הדין בסמכות הכרוכה. העדר הכרעה פועל לרעת הצד החלש. תופעה כזו מציידת את בן הזוג בעל אורך הרוח ובעל האמצעים הכלכליים, העמיד יותר לאורך לגורם הזמן, באמצעי לחץ על בן זוגו...</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"אין להסכים מאידך גיסא למצב בו התיק בפועל סגור בבית הדין הרבני ללא מתן אפשרות לאישה לעתור לבית המשפט למשפחה... מצב אבסורדי זה בו מוקפא ההליך בבית הדין הרבני יוצר אבסורד דיוני אשר ניתן לפתרון משפטי. סבורני שיש לראות בסגירת תיק בבית הדין הרבני הפסקת תביעה לאמור מחיקתה".</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sz w:val="24"/>
          <w:szCs w:val="24"/>
          <w:rtl/>
        </w:rPr>
        <w:t xml:space="preserve">(ראה: </w:t>
      </w:r>
      <w:proofErr w:type="spellStart"/>
      <w:r>
        <w:rPr>
          <w:rFonts w:ascii="David" w:hAnsi="David" w:cs="David"/>
          <w:sz w:val="24"/>
          <w:szCs w:val="24"/>
          <w:rtl/>
        </w:rPr>
        <w:t>בר"ע</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xml:space="preserve">') 302/99 </w:t>
      </w:r>
      <w:r>
        <w:rPr>
          <w:rFonts w:ascii="David" w:hAnsi="David" w:cs="David"/>
          <w:b/>
          <w:bCs/>
          <w:sz w:val="24"/>
          <w:szCs w:val="24"/>
          <w:rtl/>
        </w:rPr>
        <w:t>פלוני נ' פלונית,</w:t>
      </w:r>
      <w:r>
        <w:rPr>
          <w:rFonts w:ascii="David" w:hAnsi="David" w:cs="David"/>
          <w:sz w:val="24"/>
          <w:szCs w:val="24"/>
          <w:rtl/>
        </w:rPr>
        <w:t xml:space="preserve"> </w:t>
      </w:r>
      <w:proofErr w:type="spellStart"/>
      <w:r>
        <w:rPr>
          <w:rFonts w:ascii="David" w:hAnsi="David" w:cs="David"/>
          <w:sz w:val="24"/>
          <w:szCs w:val="24"/>
          <w:rtl/>
        </w:rPr>
        <w:t>פ"מ</w:t>
      </w:r>
      <w:proofErr w:type="spellEnd"/>
      <w:r>
        <w:rPr>
          <w:rFonts w:ascii="David" w:hAnsi="David" w:cs="David"/>
          <w:sz w:val="24"/>
          <w:szCs w:val="24"/>
          <w:rtl/>
        </w:rPr>
        <w:t xml:space="preserve"> </w:t>
      </w:r>
      <w:proofErr w:type="spellStart"/>
      <w:r>
        <w:rPr>
          <w:rFonts w:ascii="David" w:hAnsi="David" w:cs="David"/>
          <w:sz w:val="24"/>
          <w:szCs w:val="24"/>
          <w:rtl/>
        </w:rPr>
        <w:t>תשס</w:t>
      </w:r>
      <w:proofErr w:type="spellEnd"/>
      <w:r>
        <w:rPr>
          <w:rFonts w:ascii="David" w:hAnsi="David" w:cs="David"/>
          <w:sz w:val="24"/>
          <w:szCs w:val="24"/>
          <w:rtl/>
        </w:rPr>
        <w:t>(1) 76, 85 (2000).</w:t>
      </w:r>
    </w:p>
    <w:p w:rsidR="004319AA" w:rsidRDefault="004319AA" w:rsidP="004319AA">
      <w:pPr>
        <w:pStyle w:val="ad"/>
        <w:spacing w:line="36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יפים הדברים גם לעניינינו. סגירת התיק בבית הדין הרבני כמוה כמחיקת התביעה או דחייתה, ואינה הקפאת או הרדמת התיק כך שסמכות בית הדין הרבני נמשכת חרף ההרדמה או ההקפאה. לאור האמור, לא מצאתי לקבל טענת הנתבע כי סגירת התיק בבית הדין הרבני לבקשתה של התובעת היה טכני בלבד, שאינה מפקיעה את סמכותו של בית הדין לשוב ולדון בנושא אכיפת ההסכם, וכי מדובר במעין הקפאה של התיק באופן שסמכות בית הדין נמשכת. יש לראות בסגירת התיק בבית הדין הרבני הפסקת תביעה, דהיינו, מחיקתה. </w:t>
      </w:r>
    </w:p>
    <w:p w:rsidR="004319AA" w:rsidRDefault="004319AA" w:rsidP="004319AA">
      <w:pPr>
        <w:pStyle w:val="ad"/>
        <w:spacing w:line="360" w:lineRule="auto"/>
        <w:ind w:left="360"/>
        <w:jc w:val="both"/>
        <w:rPr>
          <w:rFonts w:ascii="David" w:hAnsi="David" w:cs="David"/>
          <w:sz w:val="24"/>
          <w:szCs w:val="24"/>
          <w:rtl/>
        </w:rPr>
      </w:pPr>
    </w:p>
    <w:p w:rsidR="004319AA" w:rsidRDefault="004319AA" w:rsidP="004319AA">
      <w:pPr>
        <w:pStyle w:val="ad"/>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לא מצאתי לקבל אף את טענת הנתבע כי מהתנהגות שני הצדדים (בהגשת תביעה, הגנה, בקשה לקביעת דיון ולדחיית דיון) עולה הסכמתם לדון בתביעה לאכיפת ההסכם והתובעת מושתקת מלטעון כי לבית הדין אין סמכות עניינית.        </w:t>
      </w:r>
    </w:p>
    <w:p w:rsidR="004319AA" w:rsidRDefault="004319AA" w:rsidP="004319AA">
      <w:pPr>
        <w:spacing w:line="360" w:lineRule="auto"/>
        <w:ind w:firstLine="360"/>
        <w:jc w:val="both"/>
        <w:rPr>
          <w:rFonts w:ascii="David" w:hAnsi="David"/>
        </w:rPr>
      </w:pPr>
      <w:r>
        <w:rPr>
          <w:rFonts w:ascii="David" w:hAnsi="David"/>
          <w:rtl/>
        </w:rPr>
        <w:t>כב'</w:t>
      </w:r>
      <w:r>
        <w:rPr>
          <w:rFonts w:ascii="David" w:hAnsi="David"/>
        </w:rPr>
        <w:t xml:space="preserve"> </w:t>
      </w:r>
      <w:r>
        <w:rPr>
          <w:rFonts w:ascii="David" w:hAnsi="David"/>
          <w:rtl/>
        </w:rPr>
        <w:t>השופט צבי ויצמן התייחס בהחלטתו למצב בו בעל דין מבקש למחוק תביעה וקבע:</w:t>
      </w:r>
    </w:p>
    <w:p w:rsidR="004319AA" w:rsidRDefault="004319AA" w:rsidP="004319AA">
      <w:pPr>
        <w:pStyle w:val="ad"/>
        <w:spacing w:after="0" w:line="360" w:lineRule="auto"/>
        <w:ind w:left="360"/>
        <w:jc w:val="both"/>
        <w:rPr>
          <w:rFonts w:ascii="David" w:hAnsi="David" w:cs="David"/>
          <w:b/>
          <w:bCs/>
          <w:sz w:val="24"/>
          <w:szCs w:val="24"/>
          <w:u w:val="single"/>
          <w:rtl/>
        </w:rPr>
      </w:pPr>
      <w:r>
        <w:rPr>
          <w:rFonts w:ascii="David" w:hAnsi="David" w:cs="David"/>
          <w:sz w:val="24"/>
          <w:szCs w:val="24"/>
          <w:u w:val="single"/>
          <w:rtl/>
        </w:rPr>
        <w:t>"</w:t>
      </w:r>
      <w:r>
        <w:rPr>
          <w:rFonts w:ascii="David" w:hAnsi="David" w:cs="David"/>
          <w:b/>
          <w:bCs/>
          <w:sz w:val="24"/>
          <w:szCs w:val="24"/>
          <w:u w:val="single"/>
          <w:rtl/>
        </w:rPr>
        <w:t>האם יכול צד לחזור בו מהסכמתו לסמכות בית הדין הרבני?</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 xml:space="preserve">                   תקנה ע"ח (1)  לתקנות הדיון בבתי הדין הרבניים, תשנ"ג, קובעת לאמור:</w:t>
      </w:r>
    </w:p>
    <w:p w:rsidR="004319AA" w:rsidRDefault="004319AA" w:rsidP="004319AA">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"בעל דין הרוצה לבטל בכל שלב משלבי הדיון תביעה או בקשה שהוגשה על ידו יגיש בקשה בכתב לכך לבית הדין שלפניו הוגשה התביעה או הבקשה".</w:t>
      </w:r>
    </w:p>
    <w:p w:rsidR="004319AA" w:rsidRDefault="004319AA" w:rsidP="004319AA">
      <w:pPr>
        <w:pStyle w:val="ad"/>
        <w:spacing w:line="360" w:lineRule="auto"/>
        <w:ind w:left="360"/>
        <w:jc w:val="both"/>
        <w:rPr>
          <w:rFonts w:ascii="David" w:hAnsi="David" w:cs="David"/>
          <w:b/>
          <w:bCs/>
          <w:sz w:val="24"/>
          <w:szCs w:val="24"/>
          <w:rtl/>
        </w:rPr>
      </w:pPr>
      <w:r>
        <w:rPr>
          <w:rFonts w:ascii="David" w:hAnsi="David" w:cs="David"/>
          <w:b/>
          <w:bCs/>
          <w:sz w:val="24"/>
          <w:szCs w:val="24"/>
          <w:rtl/>
        </w:rPr>
        <w:t xml:space="preserve">                  ואולם תקנה ע"ח (6) מבהירה כי – </w:t>
      </w:r>
    </w:p>
    <w:p w:rsidR="004319AA" w:rsidRDefault="004319AA" w:rsidP="004319AA">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"ההחלטה אם לקבל את הבקשה , כאמור, או לדחותה מסורה לשיקול דעתו של בית הדין "</w:t>
      </w:r>
    </w:p>
    <w:p w:rsidR="004319AA" w:rsidRDefault="004319AA" w:rsidP="004319AA">
      <w:pPr>
        <w:pStyle w:val="ad"/>
        <w:spacing w:line="360" w:lineRule="auto"/>
        <w:ind w:left="360"/>
        <w:jc w:val="both"/>
        <w:rPr>
          <w:rFonts w:ascii="David" w:hAnsi="David" w:cs="David"/>
          <w:b/>
          <w:bCs/>
          <w:sz w:val="24"/>
          <w:szCs w:val="24"/>
          <w:u w:val="single"/>
          <w:rtl/>
        </w:rPr>
      </w:pPr>
    </w:p>
    <w:p w:rsidR="004319AA" w:rsidRDefault="004319AA" w:rsidP="004319AA">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תכליתה של תקנה זו למנוע מבעל דין לעשות כל אשר חפץ ליבו בהליך השיפוטי ולדלג מערכאה אחת לחברתה כאשר הוא סבור שדרכו לא תצלח בערכאה שבחר בתחילה.</w:t>
      </w:r>
    </w:p>
    <w:p w:rsidR="004319AA" w:rsidRDefault="004319AA" w:rsidP="004319AA">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 xml:space="preserve">לפיכך באם החליט בית הדין הרבני כי אין הוא מוחק התובענות שהונחו לפניו הרי שיש בידיו להוסיף ולהכריע </w:t>
      </w:r>
      <w:proofErr w:type="spellStart"/>
      <w:r>
        <w:rPr>
          <w:rFonts w:ascii="David" w:hAnsi="David" w:cs="David"/>
          <w:b/>
          <w:bCs/>
          <w:sz w:val="24"/>
          <w:szCs w:val="24"/>
          <w:u w:val="single"/>
          <w:rtl/>
        </w:rPr>
        <w:t>לענין</w:t>
      </w:r>
      <w:proofErr w:type="spellEnd"/>
      <w:r>
        <w:rPr>
          <w:rFonts w:ascii="David" w:hAnsi="David" w:cs="David"/>
          <w:b/>
          <w:bCs/>
          <w:sz w:val="24"/>
          <w:szCs w:val="24"/>
          <w:u w:val="single"/>
          <w:rtl/>
        </w:rPr>
        <w:t xml:space="preserve"> סמכותו לדון בעניינים המפורטים  בתובענות אלו ( ראה תקנה ע"ח (8) לתקנות בתי הדין הרבניים). מעת שעשה כן, הרי שככלל באם מבקש בעל דין לערער על החלטה זו עליו לפנות  לערכאת הערעור הרבנית או ערכאת </w:t>
      </w:r>
      <w:proofErr w:type="spellStart"/>
      <w:r>
        <w:rPr>
          <w:rFonts w:ascii="David" w:hAnsi="David" w:cs="David"/>
          <w:b/>
          <w:bCs/>
          <w:sz w:val="24"/>
          <w:szCs w:val="24"/>
          <w:u w:val="single"/>
          <w:rtl/>
        </w:rPr>
        <w:t>הבג"ץ</w:t>
      </w:r>
      <w:proofErr w:type="spellEnd"/>
      <w:r>
        <w:rPr>
          <w:rFonts w:ascii="David" w:hAnsi="David" w:cs="David"/>
          <w:b/>
          <w:bCs/>
          <w:sz w:val="24"/>
          <w:szCs w:val="24"/>
          <w:u w:val="single"/>
          <w:rtl/>
        </w:rPr>
        <w:t xml:space="preserve"> ואין בית המשפט לענייני משפחה משמש כערכאת ערעור לבחינת נכונות החלטת בית הדין הרבני." </w:t>
      </w: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t xml:space="preserve">(ראה: </w:t>
      </w:r>
      <w:proofErr w:type="spellStart"/>
      <w:r>
        <w:rPr>
          <w:rFonts w:ascii="David" w:hAnsi="David" w:cs="David"/>
          <w:sz w:val="24"/>
          <w:szCs w:val="24"/>
          <w:rtl/>
        </w:rPr>
        <w:t>תמ"ש</w:t>
      </w:r>
      <w:proofErr w:type="spellEnd"/>
      <w:r>
        <w:rPr>
          <w:rFonts w:ascii="David" w:hAnsi="David" w:cs="David"/>
          <w:sz w:val="24"/>
          <w:szCs w:val="24"/>
          <w:rtl/>
        </w:rPr>
        <w:t xml:space="preserve"> (משפחה כפר סבא) 25181/05 </w:t>
      </w:r>
      <w:r>
        <w:rPr>
          <w:rFonts w:ascii="David" w:hAnsi="David" w:cs="David"/>
          <w:b/>
          <w:bCs/>
          <w:sz w:val="24"/>
          <w:szCs w:val="24"/>
          <w:rtl/>
        </w:rPr>
        <w:t>א. כ נ' ח. ו. כ</w:t>
      </w:r>
      <w:r>
        <w:rPr>
          <w:rFonts w:ascii="David" w:hAnsi="David" w:cs="David"/>
          <w:sz w:val="24"/>
          <w:szCs w:val="24"/>
          <w:rtl/>
        </w:rPr>
        <w:t xml:space="preserve"> (נבו 06.03.2006), ההדגשות שלי, ח.מ.).</w:t>
      </w:r>
    </w:p>
    <w:p w:rsidR="004319AA" w:rsidRDefault="004319AA" w:rsidP="004319AA">
      <w:pPr>
        <w:pStyle w:val="ad"/>
        <w:spacing w:line="24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יפים הדברים גם בעניינינו. </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בהתאם לתקנות הדיון בבתי הדין הרבני</w:t>
      </w:r>
      <w:r w:rsidR="006B0A84">
        <w:rPr>
          <w:rFonts w:ascii="David" w:hAnsi="David" w:cs="David"/>
          <w:sz w:val="24"/>
          <w:szCs w:val="24"/>
          <w:rtl/>
        </w:rPr>
        <w:t xml:space="preserve">ים כמפורט בסעיף 22 לעיל, רשאית </w:t>
      </w:r>
      <w:r>
        <w:rPr>
          <w:rFonts w:ascii="David" w:hAnsi="David" w:cs="David"/>
          <w:sz w:val="24"/>
          <w:szCs w:val="24"/>
          <w:rtl/>
        </w:rPr>
        <w:t xml:space="preserve">התובעת אם רוצה לחזור בה מהסכמתה לסמכות בית הדין הרבני, לבקש לבטל בכל שלב משלבי הדיון תביעה שהגישה. </w:t>
      </w: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t xml:space="preserve">ההחלטה אם לקבל בקשתה או לדחותה מסורה לבית הדין הרבני שיכול היה אף להכריע בתביעה בנסיבות מקרה זה, לאחר שהוגש לו כתב הגנה ונקבע דיון, ולהחליט שדוחה הבקשה, ואינו מוחק את התביעה, ומכריע אף לעניין סמכותו לדון בעניינים שפורטו בתביעה שהוגשה לו. </w:t>
      </w:r>
    </w:p>
    <w:p w:rsidR="004319AA" w:rsidRDefault="004319AA" w:rsidP="001E64BE">
      <w:pPr>
        <w:pStyle w:val="ad"/>
        <w:spacing w:line="360" w:lineRule="auto"/>
        <w:ind w:left="360"/>
        <w:jc w:val="both"/>
        <w:rPr>
          <w:rFonts w:ascii="David" w:hAnsi="David" w:cs="David"/>
          <w:sz w:val="24"/>
          <w:szCs w:val="24"/>
          <w:rtl/>
        </w:rPr>
      </w:pPr>
      <w:r>
        <w:rPr>
          <w:rFonts w:ascii="David" w:hAnsi="David" w:cs="David"/>
          <w:sz w:val="24"/>
          <w:szCs w:val="24"/>
          <w:rtl/>
        </w:rPr>
        <w:t>אך בהחלטת בית הדין הרבני מיום</w:t>
      </w:r>
      <w:r w:rsidR="001E64BE">
        <w:rPr>
          <w:rFonts w:ascii="David" w:hAnsi="David" w:cs="David" w:hint="cs"/>
          <w:sz w:val="24"/>
          <w:szCs w:val="24"/>
          <w:rtl/>
        </w:rPr>
        <w:t xml:space="preserve"> ***</w:t>
      </w:r>
      <w:r>
        <w:rPr>
          <w:rFonts w:ascii="David" w:hAnsi="David" w:cs="David"/>
          <w:sz w:val="24"/>
          <w:szCs w:val="24"/>
          <w:rtl/>
        </w:rPr>
        <w:t xml:space="preserve"> נעתר הוא לבקשת התובעת לסגירת התיק, וביטל את הדיון שהיה קבוע לצדדים לחודש </w:t>
      </w:r>
      <w:r w:rsidR="001E64BE">
        <w:rPr>
          <w:rFonts w:ascii="David" w:hAnsi="David" w:cs="David" w:hint="cs"/>
          <w:sz w:val="24"/>
          <w:szCs w:val="24"/>
          <w:rtl/>
        </w:rPr>
        <w:t>***</w:t>
      </w:r>
      <w:r>
        <w:rPr>
          <w:rFonts w:ascii="David" w:hAnsi="David" w:cs="David"/>
          <w:sz w:val="24"/>
          <w:szCs w:val="24"/>
          <w:rtl/>
        </w:rPr>
        <w:t xml:space="preserve">, </w:t>
      </w:r>
      <w:r>
        <w:rPr>
          <w:rFonts w:ascii="David" w:hAnsi="David" w:cs="David"/>
          <w:sz w:val="24"/>
          <w:szCs w:val="24"/>
          <w:u w:val="single"/>
          <w:rtl/>
        </w:rPr>
        <w:t>ללא שדן כלל בתביעה לאכיפת ההסכם.</w:t>
      </w:r>
      <w:r>
        <w:rPr>
          <w:rFonts w:ascii="David" w:hAnsi="David" w:cs="David"/>
          <w:sz w:val="24"/>
          <w:szCs w:val="24"/>
          <w:rtl/>
        </w:rPr>
        <w:t xml:space="preserve"> </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משכך לא מצאתי לקבל את טענת הנתבע, כי בנסיבות מקרה זה התנהלותה של התובעת נגועה בחוסר תום לב ופוגעת בעיקרון הכבוד ההדדי שבין הערכאות.</w:t>
      </w:r>
    </w:p>
    <w:p w:rsidR="004319AA" w:rsidRDefault="004319AA" w:rsidP="006B0A84">
      <w:pPr>
        <w:pStyle w:val="ad"/>
        <w:spacing w:line="360" w:lineRule="auto"/>
        <w:ind w:left="360"/>
        <w:jc w:val="both"/>
        <w:rPr>
          <w:rFonts w:ascii="David" w:hAnsi="David" w:cs="David"/>
          <w:sz w:val="24"/>
          <w:szCs w:val="24"/>
        </w:rPr>
      </w:pPr>
      <w:r>
        <w:rPr>
          <w:rFonts w:ascii="David" w:hAnsi="David" w:cs="David"/>
          <w:sz w:val="24"/>
          <w:szCs w:val="24"/>
          <w:rtl/>
        </w:rPr>
        <w:t xml:space="preserve">יש לראות כאמור בסגירת התיק, מחיקתו. כשידע הנתבע על דבר הסגירה של התיק, לא הודיע כי מתנגד לסגירה, לא הגיש בקשה לביטול ההחלטה ו/או לקיום הדיון שבוטל. הנתבע אף לא ערער </w:t>
      </w:r>
      <w:r>
        <w:rPr>
          <w:rFonts w:ascii="David" w:hAnsi="David" w:cs="David"/>
          <w:sz w:val="24"/>
          <w:szCs w:val="24"/>
          <w:rtl/>
        </w:rPr>
        <w:lastRenderedPageBreak/>
        <w:t>על החלטת בית הדין הרבני, וכידוע, בית משפט זה אינו מהווה ערכאת ערעור על החלטות בית הדין הרבני.</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 xml:space="preserve">במצב זה חדלה מלהתקיים הסמכות הנמשכת של בית הדין והסמכות העניינית מוקנית לבית משפט זה. </w:t>
      </w:r>
    </w:p>
    <w:p w:rsidR="004319AA" w:rsidRDefault="004319AA" w:rsidP="004319AA">
      <w:pPr>
        <w:pStyle w:val="ad"/>
        <w:spacing w:line="360" w:lineRule="auto"/>
        <w:ind w:left="360"/>
        <w:jc w:val="both"/>
        <w:rPr>
          <w:rFonts w:ascii="David" w:hAnsi="David" w:cs="David"/>
          <w:sz w:val="24"/>
          <w:szCs w:val="24"/>
          <w:rtl/>
        </w:rPr>
      </w:pPr>
      <w:r>
        <w:rPr>
          <w:rFonts w:ascii="David" w:hAnsi="David" w:cs="David"/>
          <w:sz w:val="24"/>
          <w:szCs w:val="24"/>
          <w:rtl/>
        </w:rPr>
        <w:t>זאת ועוד. ככל שסבר הנתבע כי היה על בית הדין הרבני לפסוק לו הוצאות בגין נטילת ייצוג והגשת כתב הגנה יכול היה להגיש בקשה בעניין הוצאות ההליך (שם) לבית הדין הרבני עם מחיקת התביעה וסגירת התיק.</w:t>
      </w:r>
    </w:p>
    <w:p w:rsidR="004319AA" w:rsidRDefault="004319AA" w:rsidP="004319AA">
      <w:pPr>
        <w:pStyle w:val="ad"/>
        <w:spacing w:line="24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לאור כל האמור, אני דוחה הבקשה לדחייה על הסף.</w:t>
      </w:r>
    </w:p>
    <w:p w:rsidR="004319AA" w:rsidRDefault="004319AA" w:rsidP="004319AA">
      <w:pPr>
        <w:pStyle w:val="ad"/>
        <w:spacing w:line="360" w:lineRule="auto"/>
        <w:ind w:left="360"/>
        <w:jc w:val="both"/>
        <w:rPr>
          <w:rFonts w:ascii="David" w:hAnsi="David" w:cs="David"/>
          <w:sz w:val="24"/>
          <w:szCs w:val="24"/>
        </w:rPr>
      </w:pPr>
      <w:r>
        <w:rPr>
          <w:rFonts w:ascii="David" w:hAnsi="David" w:cs="David"/>
          <w:sz w:val="24"/>
          <w:szCs w:val="24"/>
          <w:rtl/>
        </w:rPr>
        <w:t>הנתבע יישא בהוצאות התובעת ובשכ"ט עו"ד בסכום כולל של 2,000 ₪.</w:t>
      </w:r>
    </w:p>
    <w:p w:rsidR="004319AA" w:rsidRDefault="004319AA" w:rsidP="004319AA">
      <w:pPr>
        <w:pStyle w:val="ad"/>
        <w:spacing w:line="360" w:lineRule="auto"/>
        <w:ind w:left="360"/>
        <w:jc w:val="both"/>
        <w:rPr>
          <w:rFonts w:ascii="David" w:hAnsi="David" w:cs="David"/>
          <w:sz w:val="24"/>
          <w:szCs w:val="24"/>
          <w:rtl/>
        </w:rPr>
      </w:pPr>
    </w:p>
    <w:p w:rsidR="004319AA" w:rsidRDefault="004319AA" w:rsidP="004319A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המזכירות תמציא ההחלטה לצדדים. </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ההחלטה ניתנת לפרסום תוך השמטת פרטים מזהים.</w:t>
      </w:r>
    </w:p>
    <w:p w:rsidR="004319AA" w:rsidRDefault="004319AA" w:rsidP="004319AA">
      <w:pPr>
        <w:pStyle w:val="ad"/>
        <w:spacing w:line="240" w:lineRule="auto"/>
        <w:ind w:left="360"/>
        <w:jc w:val="both"/>
        <w:rPr>
          <w:rFonts w:ascii="David" w:hAnsi="David" w:cs="David"/>
          <w:sz w:val="24"/>
          <w:szCs w:val="24"/>
        </w:rPr>
      </w:pPr>
    </w:p>
    <w:p w:rsidR="004319AA" w:rsidRDefault="004319AA" w:rsidP="004319AA">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המזכירות תקבע התיק </w:t>
      </w:r>
      <w:proofErr w:type="spellStart"/>
      <w:r>
        <w:rPr>
          <w:rFonts w:ascii="David" w:hAnsi="David" w:cs="David"/>
          <w:sz w:val="24"/>
          <w:szCs w:val="24"/>
          <w:rtl/>
        </w:rPr>
        <w:t>לקד"מ</w:t>
      </w:r>
      <w:proofErr w:type="spellEnd"/>
      <w:r>
        <w:rPr>
          <w:rFonts w:ascii="David" w:hAnsi="David" w:cs="David"/>
          <w:sz w:val="24"/>
          <w:szCs w:val="24"/>
          <w:rtl/>
        </w:rPr>
        <w:t xml:space="preserve"> בהתאם ליומני. </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יולי 2023</w:t>
          </w:r>
        </w:sdtContent>
      </w:sdt>
      <w:r w:rsidR="00005C8B">
        <w:rPr>
          <w:rFonts w:ascii="Arial" w:hAnsi="Arial"/>
          <w:noProof w:val="0"/>
          <w:rtl/>
        </w:rPr>
        <w:t>, בהעדר הצדדים.</w:t>
      </w:r>
    </w:p>
    <w:p w:rsidR="00C43648" w:rsidRDefault="004224F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76595616"/>
        </w:sdtPr>
        <w:sdtEndPr/>
        <w:sdtContent>
          <w:r w:rsidR="001E64BE">
            <w:drawing>
              <wp:inline distT="0" distB="0" distL="0" distR="0" wp14:editId="50D07946">
                <wp:extent cx="1990724" cy="523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990724" cy="523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4319AA">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4F1" w:rsidRDefault="004224F1">
      <w:r>
        <w:separator/>
      </w:r>
    </w:p>
  </w:endnote>
  <w:endnote w:type="continuationSeparator" w:id="0">
    <w:p w:rsidR="004224F1" w:rsidRDefault="0042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0B1" w:rsidRDefault="00C840B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840B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840B1">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0B1" w:rsidRDefault="00C840B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4F1" w:rsidRDefault="004224F1">
      <w:r>
        <w:separator/>
      </w:r>
    </w:p>
  </w:footnote>
  <w:footnote w:type="continuationSeparator" w:id="0">
    <w:p w:rsidR="004224F1" w:rsidRDefault="00422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0B1" w:rsidRDefault="00C840B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224F1" w:rsidP="004260CE">
          <w:pPr>
            <w:rPr>
              <w:b/>
              <w:bCs/>
              <w:noProof w:val="0"/>
              <w:sz w:val="26"/>
              <w:szCs w:val="26"/>
              <w:rtl/>
            </w:rPr>
          </w:pPr>
          <w:sdt>
            <w:sdtPr>
              <w:rPr>
                <w:rtl/>
              </w:rPr>
              <w:alias w:val="1170"/>
              <w:tag w:val="1170"/>
              <w:id w:val="1066377040"/>
              <w:text w:multiLine="1"/>
            </w:sdtPr>
            <w:sdtEndPr/>
            <w:sdtContent>
              <w:proofErr w:type="spellStart"/>
              <w:r w:rsidR="00897DAF">
                <w:rPr>
                  <w:b/>
                  <w:bCs/>
                  <w:noProof w:val="0"/>
                  <w:sz w:val="26"/>
                  <w:szCs w:val="26"/>
                  <w:rtl/>
                </w:rPr>
                <w:t>תלה"מ</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897DAF">
                <w:rPr>
                  <w:b/>
                  <w:bCs/>
                  <w:noProof w:val="0"/>
                  <w:sz w:val="26"/>
                  <w:szCs w:val="26"/>
                  <w:rtl/>
                </w:rPr>
                <w:t>14374-02-23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4260CE">
                <w:rPr>
                  <w:rFonts w:hint="cs"/>
                  <w:b/>
                  <w:bCs/>
                  <w:noProof w:val="0"/>
                  <w:sz w:val="26"/>
                  <w:szCs w:val="26"/>
                  <w:rtl/>
                </w:rPr>
                <w:t>פלונית</w:t>
              </w:r>
              <w:r w:rsidR="00897DAF">
                <w:rPr>
                  <w:b/>
                  <w:bCs/>
                  <w:noProof w:val="0"/>
                  <w:sz w:val="26"/>
                  <w:szCs w:val="26"/>
                  <w:rtl/>
                </w:rPr>
                <w:t xml:space="preserve"> נ' </w:t>
              </w:r>
              <w:r w:rsidR="004260CE">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rFonts w:hint="cs"/>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0B1" w:rsidRDefault="00C840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447606"/>
    <w:multiLevelType w:val="hybridMultilevel"/>
    <w:tmpl w:val="F9FAAAF2"/>
    <w:lvl w:ilvl="0" w:tplc="BAEEBE78">
      <w:start w:val="1"/>
      <w:numFmt w:val="decimal"/>
      <w:lvlText w:val="%1."/>
      <w:lvlJc w:val="left"/>
      <w:pPr>
        <w:ind w:left="360" w:hanging="360"/>
      </w:pPr>
    </w:lvl>
    <w:lvl w:ilvl="1" w:tplc="B54818E2">
      <w:start w:val="1"/>
      <w:numFmt w:val="lowerLetter"/>
      <w:lvlText w:val="%2."/>
      <w:lvlJc w:val="left"/>
      <w:pPr>
        <w:ind w:left="1080" w:hanging="360"/>
      </w:pPr>
    </w:lvl>
    <w:lvl w:ilvl="2" w:tplc="F3DAB4DE">
      <w:start w:val="1"/>
      <w:numFmt w:val="lowerRoman"/>
      <w:lvlText w:val="%3."/>
      <w:lvlJc w:val="right"/>
      <w:pPr>
        <w:ind w:left="1800" w:hanging="180"/>
      </w:pPr>
    </w:lvl>
    <w:lvl w:ilvl="3" w:tplc="2D56A332">
      <w:start w:val="1"/>
      <w:numFmt w:val="decimal"/>
      <w:lvlText w:val="%4."/>
      <w:lvlJc w:val="left"/>
      <w:pPr>
        <w:ind w:left="2520" w:hanging="360"/>
      </w:pPr>
    </w:lvl>
    <w:lvl w:ilvl="4" w:tplc="496401FA">
      <w:start w:val="1"/>
      <w:numFmt w:val="lowerLetter"/>
      <w:lvlText w:val="%5."/>
      <w:lvlJc w:val="left"/>
      <w:pPr>
        <w:ind w:left="3240" w:hanging="360"/>
      </w:pPr>
    </w:lvl>
    <w:lvl w:ilvl="5" w:tplc="282C71B4">
      <w:start w:val="1"/>
      <w:numFmt w:val="lowerRoman"/>
      <w:lvlText w:val="%6."/>
      <w:lvlJc w:val="right"/>
      <w:pPr>
        <w:ind w:left="3960" w:hanging="180"/>
      </w:pPr>
    </w:lvl>
    <w:lvl w:ilvl="6" w:tplc="846CBADA">
      <w:start w:val="1"/>
      <w:numFmt w:val="decimal"/>
      <w:lvlText w:val="%7."/>
      <w:lvlJc w:val="left"/>
      <w:pPr>
        <w:ind w:left="4680" w:hanging="360"/>
      </w:pPr>
    </w:lvl>
    <w:lvl w:ilvl="7" w:tplc="D2A48468">
      <w:start w:val="1"/>
      <w:numFmt w:val="lowerLetter"/>
      <w:lvlText w:val="%8."/>
      <w:lvlJc w:val="left"/>
      <w:pPr>
        <w:ind w:left="5400" w:hanging="360"/>
      </w:pPr>
    </w:lvl>
    <w:lvl w:ilvl="8" w:tplc="0EEA62C0">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D6818"/>
    <w:rsid w:val="000E0DD2"/>
    <w:rsid w:val="000E3AF1"/>
    <w:rsid w:val="000E4607"/>
    <w:rsid w:val="000F0BC8"/>
    <w:rsid w:val="000F0DD6"/>
    <w:rsid w:val="00107E6D"/>
    <w:rsid w:val="0011194C"/>
    <w:rsid w:val="0011424C"/>
    <w:rsid w:val="001173C6"/>
    <w:rsid w:val="001367BC"/>
    <w:rsid w:val="00144D2A"/>
    <w:rsid w:val="0014653E"/>
    <w:rsid w:val="00180519"/>
    <w:rsid w:val="00184EA7"/>
    <w:rsid w:val="00191C82"/>
    <w:rsid w:val="001C4003"/>
    <w:rsid w:val="001D4DBF"/>
    <w:rsid w:val="001E64BE"/>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224F1"/>
    <w:rsid w:val="004260CE"/>
    <w:rsid w:val="0043125D"/>
    <w:rsid w:val="004319AA"/>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94BD3"/>
    <w:rsid w:val="005F4F09"/>
    <w:rsid w:val="0061431B"/>
    <w:rsid w:val="00622BAA"/>
    <w:rsid w:val="006306CF"/>
    <w:rsid w:val="00636315"/>
    <w:rsid w:val="00644E9A"/>
    <w:rsid w:val="00671BD5"/>
    <w:rsid w:val="006805C1"/>
    <w:rsid w:val="00686C21"/>
    <w:rsid w:val="006931C1"/>
    <w:rsid w:val="00694556"/>
    <w:rsid w:val="006B0A84"/>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C65D4"/>
    <w:rsid w:val="007D45E3"/>
    <w:rsid w:val="007E6115"/>
    <w:rsid w:val="007F4609"/>
    <w:rsid w:val="00814468"/>
    <w:rsid w:val="008176A1"/>
    <w:rsid w:val="00820005"/>
    <w:rsid w:val="00844318"/>
    <w:rsid w:val="00850196"/>
    <w:rsid w:val="0086061C"/>
    <w:rsid w:val="00863F5D"/>
    <w:rsid w:val="00870890"/>
    <w:rsid w:val="00873602"/>
    <w:rsid w:val="00875D12"/>
    <w:rsid w:val="00881CCE"/>
    <w:rsid w:val="0088479D"/>
    <w:rsid w:val="00896889"/>
    <w:rsid w:val="00897DAF"/>
    <w:rsid w:val="008C5714"/>
    <w:rsid w:val="008D10B2"/>
    <w:rsid w:val="00903896"/>
    <w:rsid w:val="00906F3D"/>
    <w:rsid w:val="00930FB2"/>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2596B"/>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51A26"/>
    <w:rsid w:val="00C642FA"/>
    <w:rsid w:val="00C840B1"/>
    <w:rsid w:val="00CC7622"/>
    <w:rsid w:val="00CD608F"/>
    <w:rsid w:val="00CF6BB7"/>
    <w:rsid w:val="00D04AA4"/>
    <w:rsid w:val="00D27982"/>
    <w:rsid w:val="00D33B86"/>
    <w:rsid w:val="00D44968"/>
    <w:rsid w:val="00D53924"/>
    <w:rsid w:val="00D55D0C"/>
    <w:rsid w:val="00D857DF"/>
    <w:rsid w:val="00D96D8C"/>
    <w:rsid w:val="00DA6649"/>
    <w:rsid w:val="00DA7D00"/>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319AA"/>
    <w:pPr>
      <w:spacing w:after="200" w:line="27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7751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E5110" w:rsidP="00EE5110">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405FEA" w:rsidP="00405FEA">
          <w:pPr>
            <w:pStyle w:val="05E7DE95815641A5862D6440CD534EB0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746837"/>
    <w:rsid w:val="00793995"/>
    <w:rsid w:val="007C6F98"/>
    <w:rsid w:val="007E254A"/>
    <w:rsid w:val="0086433F"/>
    <w:rsid w:val="008B4366"/>
    <w:rsid w:val="008C66D5"/>
    <w:rsid w:val="009133C7"/>
    <w:rsid w:val="009178E4"/>
    <w:rsid w:val="00961B27"/>
    <w:rsid w:val="00990020"/>
    <w:rsid w:val="00AA7CE3"/>
    <w:rsid w:val="00B42D7E"/>
    <w:rsid w:val="00B45677"/>
    <w:rsid w:val="00B91FA3"/>
    <w:rsid w:val="00BE6557"/>
    <w:rsid w:val="00C96C06"/>
    <w:rsid w:val="00E31BF6"/>
    <w:rsid w:val="00E81DB1"/>
    <w:rsid w:val="00EE5110"/>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EE511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1972</Words>
  <Characters>9861</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2023-07-30T08:54:00Z</dcterms:created>
  <dcterms:modified xsi:type="dcterms:W3CDTF">2023-07-30T08:54:00Z</dcterms:modified>
</cp:coreProperties>
</file>